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w:t>
      </w:r>
      <w:r>
        <w:rPr>
          <w:rFonts w:hint="eastAsia" w:ascii="方正粗黑宋简体" w:hAnsi="方正粗黑宋简体" w:eastAsia="方正粗黑宋简体" w:cs="宋体"/>
          <w:b/>
          <w:bCs/>
          <w:sz w:val="44"/>
          <w:szCs w:val="44"/>
          <w:highlight w:val="none"/>
          <w:lang w:val="en-US" w:eastAsia="zh-CN"/>
        </w:rPr>
        <w:t>10.13</w:t>
      </w:r>
      <w:r>
        <w:rPr>
          <w:rFonts w:hint="eastAsia" w:ascii="方正粗黑宋简体" w:hAnsi="方正粗黑宋简体" w:eastAsia="方正粗黑宋简体" w:cs="宋体"/>
          <w:b/>
          <w:bCs/>
          <w:sz w:val="44"/>
          <w:szCs w:val="44"/>
        </w:rPr>
        <w:t>液态除雪车</w:t>
      </w:r>
      <w:r>
        <w:rPr>
          <w:rFonts w:hint="eastAsia" w:ascii="Times New Roman" w:hAnsi="Times New Roman" w:eastAsia="黑体" w:cs="Times New Roman"/>
          <w:sz w:val="44"/>
          <w:szCs w:val="32"/>
        </w:rPr>
        <w:t>采购项目</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highlight w:val="none"/>
        </w:rPr>
      </w:pPr>
      <w:r>
        <w:rPr>
          <w:rFonts w:ascii="Times New Roman" w:hAnsi="Times New Roman" w:eastAsia="黑体" w:cs="Times New Roman"/>
          <w:sz w:val="32"/>
          <w:szCs w:val="32"/>
          <w:highlight w:val="none"/>
        </w:rPr>
        <w:t>日</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期</w:t>
      </w:r>
      <w:r>
        <w:rPr>
          <w:rFonts w:ascii="Times New Roman" w:hAnsi="Times New Roman" w:cs="Times New Roman"/>
          <w:sz w:val="32"/>
          <w:szCs w:val="32"/>
          <w:highlight w:val="none"/>
        </w:rPr>
        <w:t>：</w:t>
      </w:r>
      <w:r>
        <w:rPr>
          <w:rFonts w:hint="eastAsia" w:ascii="Times New Roman" w:hAnsi="Times New Roman" w:eastAsia="黑体" w:cs="Times New Roman"/>
          <w:sz w:val="32"/>
          <w:szCs w:val="32"/>
          <w:highlight w:val="none"/>
          <w:u w:val="single"/>
        </w:rPr>
        <w:t>2023</w:t>
      </w:r>
      <w:r>
        <w:rPr>
          <w:rFonts w:ascii="Times New Roman" w:hAnsi="Times New Roman" w:cs="Times New Roman"/>
          <w:sz w:val="32"/>
          <w:szCs w:val="32"/>
          <w:highlight w:val="none"/>
        </w:rPr>
        <w:t>年</w:t>
      </w:r>
      <w:r>
        <w:rPr>
          <w:rFonts w:hint="eastAsia" w:ascii="Times New Roman" w:hAnsi="Times New Roman" w:cs="Times New Roman"/>
          <w:sz w:val="32"/>
          <w:szCs w:val="32"/>
          <w:highlight w:val="none"/>
          <w:u w:val="single"/>
        </w:rPr>
        <w:t xml:space="preserve">  10 </w:t>
      </w:r>
      <w:r>
        <w:rPr>
          <w:rFonts w:ascii="Times New Roman" w:hAnsi="Times New Roman" w:cs="Times New Roman"/>
          <w:sz w:val="32"/>
          <w:szCs w:val="32"/>
          <w:highlight w:val="none"/>
        </w:rPr>
        <w:t>月</w:t>
      </w:r>
      <w:r>
        <w:rPr>
          <w:rFonts w:hint="eastAsia" w:ascii="Times New Roman" w:hAnsi="Times New Roman" w:cs="Times New Roman"/>
          <w:sz w:val="32"/>
          <w:szCs w:val="32"/>
          <w:highlight w:val="none"/>
          <w:u w:val="single"/>
        </w:rPr>
        <w:t xml:space="preserve">  1</w:t>
      </w:r>
      <w:r>
        <w:rPr>
          <w:rFonts w:hint="eastAsia" w:ascii="Times New Roman" w:hAnsi="Times New Roman" w:cs="Times New Roman"/>
          <w:sz w:val="32"/>
          <w:szCs w:val="32"/>
          <w:highlight w:val="none"/>
          <w:u w:val="single"/>
          <w:lang w:val="en-US" w:eastAsia="zh-CN"/>
        </w:rPr>
        <w:t>3</w:t>
      </w:r>
      <w:r>
        <w:rPr>
          <w:rFonts w:hint="eastAsia" w:ascii="Times New Roman" w:hAnsi="Times New Roman" w:cs="Times New Roman"/>
          <w:sz w:val="32"/>
          <w:szCs w:val="32"/>
          <w:highlight w:val="none"/>
          <w:u w:val="single"/>
        </w:rPr>
        <w:t xml:space="preserve"> </w:t>
      </w:r>
      <w:r>
        <w:rPr>
          <w:rFonts w:ascii="Times New Roman" w:hAnsi="Times New Roman" w:cs="Times New Roman"/>
          <w:sz w:val="32"/>
          <w:szCs w:val="32"/>
          <w:highlight w:val="none"/>
          <w:u w:val="single"/>
        </w:rPr>
        <w:t xml:space="preserve"> </w:t>
      </w:r>
      <w:r>
        <w:rPr>
          <w:rFonts w:ascii="Times New Roman" w:hAnsi="Times New Roman" w:cs="Times New Roman"/>
          <w:sz w:val="32"/>
          <w:szCs w:val="32"/>
          <w:highlight w:val="none"/>
        </w:rPr>
        <w:t>日</w:t>
      </w:r>
    </w:p>
    <w:p>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2"/>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12765"/>
      <w:bookmarkStart w:id="4" w:name="_Toc6496_WPSOffice_Level2"/>
      <w:bookmarkStart w:id="5" w:name="_Toc10395_WPSOffice_Level2"/>
      <w:bookmarkStart w:id="6" w:name="_Toc4489_WPSOffice_Level2"/>
      <w:bookmarkStart w:id="7" w:name="_Toc13871"/>
      <w:bookmarkStart w:id="8" w:name="_Toc52563258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2023年度安徽交运集团汽车销售有限公司10</w:t>
      </w:r>
      <w:r>
        <w:rPr>
          <w:rFonts w:hint="eastAsia" w:ascii="宋体" w:hAnsi="宋体" w:eastAsia="宋体" w:cs="宋体"/>
          <w:szCs w:val="21"/>
          <w:u w:val="single"/>
          <w:lang w:val="en-US" w:eastAsia="zh-CN"/>
        </w:rPr>
        <w:t>.13液态除雪车</w:t>
      </w:r>
      <w:r>
        <w:rPr>
          <w:rFonts w:hint="eastAsia" w:ascii="宋体" w:hAnsi="宋体" w:eastAsia="宋体" w:cs="宋体"/>
          <w:szCs w:val="21"/>
          <w:u w:val="single"/>
        </w:rPr>
        <w:t>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 xml:space="preserve">用于高速公路路面除雪 </w:t>
      </w:r>
    </w:p>
    <w:p>
      <w:pPr>
        <w:pStyle w:val="2"/>
        <w:snapToGrid w:val="0"/>
        <w:spacing w:before="120" w:after="120" w:line="560" w:lineRule="exact"/>
        <w:ind w:firstLine="403"/>
        <w:rPr>
          <w:rFonts w:ascii="Times New Roman" w:hAnsi="Times New Roman" w:eastAsia="黑体" w:cs="Times New Roman"/>
          <w:bCs w:val="0"/>
          <w:sz w:val="22"/>
          <w:szCs w:val="15"/>
        </w:rPr>
      </w:pPr>
      <w:bookmarkStart w:id="9" w:name="_Toc8128_WPSOffice_Level2"/>
      <w:bookmarkStart w:id="10" w:name="_Toc525632586"/>
      <w:bookmarkStart w:id="11" w:name="_Toc18367_WPSOffice_Level2"/>
      <w:bookmarkStart w:id="12" w:name="_Toc17858_WPSOffice_Level2"/>
      <w:bookmarkStart w:id="13" w:name="_Toc23266_WPSOffice_Level2"/>
      <w:bookmarkStart w:id="14" w:name="_Toc10274"/>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采购多功能液态除雪车1台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highlight w:val="none"/>
          <w:u w:val="single"/>
        </w:rPr>
        <w:t>75万元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合同签订之日起50个日历日</w:t>
      </w:r>
    </w:p>
    <w:p>
      <w:pPr>
        <w:pStyle w:val="35"/>
        <w:spacing w:before="143"/>
        <w:ind w:right="1430"/>
        <w:jc w:val="left"/>
        <w:rPr>
          <w:sz w:val="24"/>
          <w:lang w:val="en-US"/>
        </w:rPr>
      </w:pPr>
      <w:bookmarkStart w:id="19" w:name="_Toc29516_WPSOffice_Level2"/>
      <w:bookmarkStart w:id="20" w:name="_Toc6388"/>
      <w:bookmarkStart w:id="21" w:name="_Toc1622_WPSOffice_Level2"/>
      <w:bookmarkStart w:id="22" w:name="_Toc3714"/>
      <w:bookmarkStart w:id="23" w:name="_Toc525632587"/>
      <w:bookmarkStart w:id="24" w:name="_Toc22379_WPSOffice_Level2"/>
      <w:bookmarkStart w:id="25" w:name="_Toc31673_WPSOffice_Level2"/>
      <w:r>
        <w:rPr>
          <w:rFonts w:hint="eastAsia"/>
          <w:sz w:val="24"/>
          <w:lang w:val="en-US"/>
        </w:rPr>
        <w:t>备注：</w:t>
      </w:r>
    </w:p>
    <w:p>
      <w:pPr>
        <w:spacing w:line="460" w:lineRule="exact"/>
        <w:ind w:firstLine="480" w:firstLineChars="200"/>
        <w:jc w:val="left"/>
        <w:rPr>
          <w:sz w:val="24"/>
        </w:rPr>
      </w:pPr>
      <w:r>
        <w:rPr>
          <w:rFonts w:hint="eastAsia"/>
          <w:sz w:val="24"/>
        </w:rPr>
        <w:t>此项目：供应商须报价需含车辆保险、车辆购置税、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2"/>
        <w:numPr>
          <w:ilvl w:val="0"/>
          <w:numId w:val="0"/>
        </w:numPr>
        <w:snapToGrid w:val="0"/>
        <w:spacing w:before="120" w:after="120" w:line="560" w:lineRule="exact"/>
        <w:ind w:left="420"/>
        <w:rPr>
          <w:rFonts w:ascii="Times New Roman" w:hAnsi="Times New Roman" w:eastAsia="黑体" w:cs="Times New Roman"/>
          <w:bCs w:val="0"/>
          <w:sz w:val="22"/>
          <w:szCs w:val="15"/>
        </w:rPr>
      </w:pPr>
      <w:r>
        <w:rPr>
          <w:rFonts w:hint="eastAsia" w:ascii="Times New Roman" w:hAnsi="Times New Roman" w:cs="Times New Roman"/>
          <w:b w:val="0"/>
          <w:bCs w:val="0"/>
          <w:sz w:val="21"/>
          <w:szCs w:val="22"/>
        </w:rPr>
        <w:t>3.</w:t>
      </w:r>
      <w:r>
        <w:rPr>
          <w:rFonts w:hint="eastAsia" w:ascii="Calibri" w:hAnsi="Calibri" w:eastAsia="宋体" w:cs="Times New Roman"/>
          <w:szCs w:val="21"/>
        </w:rPr>
        <w:t xml:space="preserve"> </w:t>
      </w: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cs="Times New Roman"/>
          <w:szCs w:val="22"/>
          <w:highlight w:val="green"/>
        </w:rPr>
      </w:pPr>
      <w:r>
        <w:rPr>
          <w:rFonts w:hint="eastAsia" w:ascii="Times New Roman" w:hAnsi="Times New Roman"/>
          <w:highlight w:val="green"/>
        </w:rPr>
        <w:t>投标人自2</w:t>
      </w:r>
      <w:r>
        <w:rPr>
          <w:rFonts w:ascii="Times New Roman" w:hAnsi="Times New Roman"/>
          <w:highlight w:val="green"/>
        </w:rPr>
        <w:t>020</w:t>
      </w:r>
      <w:r>
        <w:rPr>
          <w:rFonts w:hint="eastAsia" w:ascii="Times New Roman" w:hAnsi="Times New Roman"/>
          <w:highlight w:val="green"/>
        </w:rPr>
        <w:t>年1月1日（以合同签订时间为准）至今，具有本项目所投同型号的供货业绩。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snapToGrid w:val="0"/>
        <w:spacing w:before="120" w:after="120" w:line="560" w:lineRule="exact"/>
        <w:ind w:firstLine="403"/>
        <w:rPr>
          <w:rFonts w:ascii="Times New Roman" w:hAnsi="Times New Roman" w:eastAsia="黑体" w:cs="Times New Roman"/>
          <w:bCs w:val="0"/>
          <w:sz w:val="22"/>
          <w:szCs w:val="15"/>
        </w:rPr>
      </w:pPr>
      <w:bookmarkStart w:id="26" w:name="_Toc29452_WPSOffice_Level2"/>
      <w:bookmarkStart w:id="27" w:name="_Toc25666_WPSOffice_Level2"/>
      <w:bookmarkStart w:id="28" w:name="_Toc4751"/>
      <w:bookmarkStart w:id="29" w:name="_Toc2996_WPSOffice_Level2"/>
      <w:bookmarkStart w:id="30" w:name="_Toc4109_WPSOffice_Level2"/>
      <w:bookmarkStart w:id="31" w:name="_Toc525632588"/>
      <w:bookmarkStart w:id="32" w:name="_Toc1994"/>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2"/>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highlight w:val="green"/>
        </w:rPr>
        <w:t>响应文件递交的截止时间为</w:t>
      </w:r>
      <w:r>
        <w:rPr>
          <w:rFonts w:hint="eastAsia" w:ascii="Times New Roman" w:hAnsi="Times New Roman" w:cs="Times New Roman"/>
          <w:szCs w:val="22"/>
          <w:highlight w:val="green"/>
          <w:u w:val="single"/>
        </w:rPr>
        <w:t>2023</w:t>
      </w:r>
      <w:r>
        <w:rPr>
          <w:rFonts w:ascii="Times New Roman" w:hAnsi="Times New Roman" w:cs="Times New Roman"/>
          <w:szCs w:val="22"/>
          <w:highlight w:val="green"/>
        </w:rPr>
        <w:t>年</w:t>
      </w:r>
      <w:r>
        <w:rPr>
          <w:rFonts w:hint="eastAsia" w:ascii="Times New Roman" w:hAnsi="Times New Roman" w:cs="Times New Roman"/>
          <w:szCs w:val="22"/>
          <w:highlight w:val="green"/>
          <w:u w:val="single"/>
        </w:rPr>
        <w:t xml:space="preserve"> 10 </w:t>
      </w:r>
      <w:r>
        <w:rPr>
          <w:rFonts w:ascii="Times New Roman" w:hAnsi="Times New Roman" w:cs="Times New Roman"/>
          <w:szCs w:val="22"/>
          <w:highlight w:val="green"/>
        </w:rPr>
        <w:t>月</w:t>
      </w:r>
      <w:r>
        <w:rPr>
          <w:rFonts w:hint="eastAsia"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20</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日</w:t>
      </w:r>
      <w:r>
        <w:rPr>
          <w:rFonts w:hint="eastAsia" w:ascii="Times New Roman" w:hAnsi="Times New Roman" w:cs="Times New Roman"/>
          <w:szCs w:val="22"/>
          <w:highlight w:val="green"/>
          <w:u w:val="single"/>
        </w:rPr>
        <w:t xml:space="preserve"> 10 </w:t>
      </w:r>
      <w:r>
        <w:rPr>
          <w:rFonts w:ascii="Times New Roman" w:hAnsi="Times New Roman" w:cs="Times New Roman"/>
          <w:szCs w:val="22"/>
          <w:highlight w:val="green"/>
        </w:rPr>
        <w:t>时</w:t>
      </w:r>
      <w:r>
        <w:rPr>
          <w:rFonts w:hint="eastAsia" w:ascii="Times New Roman" w:hAnsi="Times New Roman" w:cs="Times New Roman"/>
          <w:szCs w:val="22"/>
          <w:highlight w:val="green"/>
          <w:u w:val="single"/>
        </w:rPr>
        <w:t>00</w:t>
      </w:r>
      <w:r>
        <w:rPr>
          <w:rFonts w:ascii="Times New Roman" w:hAnsi="Times New Roman" w:cs="Times New Roman"/>
          <w:szCs w:val="22"/>
          <w:highlight w:val="green"/>
        </w:rPr>
        <w:t>分，供应商的法定代表人或其授权代理人应于截止时间前将响应文件</w:t>
      </w:r>
      <w:r>
        <w:rPr>
          <w:rFonts w:hint="eastAsia" w:ascii="Times New Roman" w:hAnsi="Times New Roman" w:cs="Times New Roman"/>
          <w:szCs w:val="22"/>
          <w:highlight w:val="green"/>
        </w:rPr>
        <w:t>递交至</w:t>
      </w:r>
      <w:r>
        <w:rPr>
          <w:rFonts w:hint="eastAsia" w:ascii="Times New Roman" w:hAnsi="Times New Roman" w:cs="Times New Roman"/>
          <w:szCs w:val="22"/>
          <w:highlight w:val="green"/>
          <w:u w:val="single"/>
        </w:rPr>
        <w:t>合肥市胜利路35号，交通饭店三楼汽车销售有限公司</w:t>
      </w:r>
      <w:r>
        <w:rPr>
          <w:rFonts w:ascii="Times New Roman" w:hAnsi="Times New Roman" w:cs="Times New Roman"/>
          <w:szCs w:val="22"/>
          <w:highlight w:val="green"/>
        </w:rPr>
        <w:t>（地点）。</w:t>
      </w:r>
    </w:p>
    <w:p>
      <w:pPr>
        <w:pStyle w:val="2"/>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2"/>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5"/>
        <w:ind w:firstLine="420" w:firstLineChars="200"/>
        <w:rPr>
          <w:rFonts w:ascii="Times New Roman" w:hAnsi="Times New Roman"/>
          <w:highlight w:val="green"/>
        </w:rPr>
      </w:pPr>
      <w:r>
        <w:rPr>
          <w:rFonts w:hint="eastAsia" w:ascii="Times New Roman" w:hAnsi="Times New Roman"/>
          <w:highlight w:val="green"/>
        </w:rPr>
        <w:t>本项目无响应保证金，需发响应报名表进行报名。</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在2023年 10月</w:t>
      </w:r>
      <w:r>
        <w:rPr>
          <w:rFonts w:hint="eastAsia" w:ascii="Times New Roman" w:hAnsi="Times New Roman"/>
          <w:highlight w:val="green"/>
          <w:lang w:val="en-US" w:eastAsia="zh-CN"/>
        </w:rPr>
        <w:t>19</w:t>
      </w:r>
      <w:r>
        <w:rPr>
          <w:rFonts w:hint="eastAsia" w:ascii="Times New Roman" w:hAnsi="Times New Roman"/>
          <w:highlight w:val="green"/>
        </w:rPr>
        <w:t>日 15 ：00前，将响应报名表发送至</w:t>
      </w:r>
      <w:r>
        <w:fldChar w:fldCharType="begin"/>
      </w:r>
      <w:r>
        <w:instrText xml:space="preserve"> HYPERLINK "mailto:ahjyxs@163.com" </w:instrText>
      </w:r>
      <w:r>
        <w:fldChar w:fldCharType="separate"/>
      </w:r>
      <w:r>
        <w:rPr>
          <w:rStyle w:val="20"/>
          <w:rFonts w:hint="eastAsia" w:ascii="Times New Roman" w:hAnsi="Times New Roman" w:cs="Times New Roman"/>
          <w:szCs w:val="22"/>
          <w:highlight w:val="green"/>
        </w:rPr>
        <w:t>ahjyxs@163.com</w:t>
      </w:r>
      <w:r>
        <w:rPr>
          <w:rStyle w:val="20"/>
          <w:rFonts w:hint="eastAsia" w:ascii="Times New Roman" w:hAnsi="Times New Roman" w:cs="Times New Roman"/>
          <w:szCs w:val="22"/>
          <w:highlight w:val="green"/>
        </w:rPr>
        <w:fldChar w:fldCharType="end"/>
      </w:r>
      <w:r>
        <w:rPr>
          <w:rFonts w:hint="eastAsia" w:ascii="Times New Roman" w:hAnsi="Times New Roman" w:cs="Times New Roman"/>
          <w:szCs w:val="22"/>
          <w:highlight w:val="green"/>
        </w:rPr>
        <w:t>进行确认报名。</w:t>
      </w:r>
    </w:p>
    <w:p>
      <w:pPr>
        <w:pStyle w:val="2"/>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2"/>
        <w:snapToGrid w:val="0"/>
        <w:spacing w:before="120" w:after="120" w:line="560" w:lineRule="exact"/>
        <w:ind w:firstLine="403"/>
        <w:rPr>
          <w:rFonts w:ascii="Times New Roman" w:hAnsi="Times New Roman" w:eastAsia="黑体" w:cs="Times New Roman"/>
          <w:bCs w:val="0"/>
          <w:sz w:val="22"/>
          <w:szCs w:val="15"/>
        </w:rPr>
      </w:pPr>
      <w:bookmarkStart w:id="37" w:name="_Toc28571_WPSOffice_Level2"/>
      <w:bookmarkStart w:id="38" w:name="_Toc20572_WPSOffice_Level2"/>
      <w:bookmarkStart w:id="39" w:name="_Toc8501"/>
      <w:bookmarkStart w:id="40" w:name="_Toc26829"/>
      <w:bookmarkStart w:id="41" w:name="_Toc525632592"/>
      <w:bookmarkStart w:id="42" w:name="_Toc14943_WPSOffice_Level2"/>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Style w:val="20"/>
          <w:rFonts w:hint="eastAsia" w:ascii="Times New Roman" w:hAnsi="Times New Roman" w:cs="Times New Roman"/>
          <w:szCs w:val="22"/>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20"/>
          <w:rFonts w:hint="eastAsia" w:ascii="Times New Roman" w:hAnsi="Times New Roman" w:cs="Times New Roman"/>
          <w:szCs w:val="22"/>
        </w:rPr>
        <w:t>ahjyxs@163.com</w:t>
      </w:r>
      <w:r>
        <w:rPr>
          <w:rStyle w:val="20"/>
          <w:rFonts w:hint="eastAsia" w:ascii="Times New Roman" w:hAnsi="Times New Roman" w:cs="Times New Roman"/>
          <w:szCs w:val="22"/>
        </w:rPr>
        <w:fldChar w:fldCharType="end"/>
      </w:r>
    </w:p>
    <w:p>
      <w:pPr>
        <w:rPr>
          <w:rStyle w:val="20"/>
          <w:rFonts w:hint="eastAsia" w:ascii="Times New Roman" w:hAnsi="Times New Roman" w:cs="Times New Roman"/>
          <w:szCs w:val="22"/>
        </w:rPr>
      </w:pPr>
    </w:p>
    <w:p>
      <w:pPr>
        <w:pStyle w:val="2"/>
        <w:numPr>
          <w:ilvl w:val="0"/>
          <w:numId w:val="0"/>
        </w:numPr>
        <w:ind w:left="417" w:leftChars="0"/>
      </w:pPr>
    </w:p>
    <w:p>
      <w:pPr>
        <w:pStyle w:val="22"/>
        <w:ind w:right="315"/>
        <w:jc w:val="right"/>
        <w:rPr>
          <w:rFonts w:hint="default" w:ascii="Times New Roman" w:hAnsi="Times New Roman"/>
          <w:color w:val="auto"/>
          <w:szCs w:val="28"/>
        </w:rPr>
      </w:pPr>
      <w:r>
        <w:rPr>
          <w:rFonts w:ascii="Times New Roman" w:hAnsi="Times New Roman"/>
          <w:color w:val="auto"/>
          <w:sz w:val="21"/>
          <w:szCs w:val="22"/>
        </w:rPr>
        <w:t xml:space="preserve"> 2023 </w:t>
      </w:r>
      <w:r>
        <w:rPr>
          <w:rFonts w:hint="default" w:ascii="Times New Roman" w:hAnsi="Times New Roman"/>
          <w:color w:val="auto"/>
          <w:sz w:val="21"/>
          <w:szCs w:val="22"/>
        </w:rPr>
        <w:t>年</w:t>
      </w:r>
      <w:r>
        <w:rPr>
          <w:rFonts w:ascii="Times New Roman" w:hAnsi="Times New Roman"/>
          <w:color w:val="auto"/>
          <w:sz w:val="21"/>
          <w:szCs w:val="22"/>
        </w:rPr>
        <w:t xml:space="preserve"> 10 </w:t>
      </w:r>
      <w:r>
        <w:rPr>
          <w:rFonts w:hint="default" w:ascii="Times New Roman" w:hAnsi="Times New Roman"/>
          <w:color w:val="auto"/>
          <w:sz w:val="21"/>
          <w:szCs w:val="22"/>
        </w:rPr>
        <w:t>月</w:t>
      </w:r>
      <w:r>
        <w:rPr>
          <w:rFonts w:ascii="Times New Roman" w:hAnsi="Times New Roman"/>
          <w:color w:val="auto"/>
          <w:sz w:val="21"/>
          <w:szCs w:val="22"/>
        </w:rPr>
        <w:t xml:space="preserve"> 1</w:t>
      </w:r>
      <w:r>
        <w:rPr>
          <w:rFonts w:hint="eastAsia" w:ascii="Times New Roman" w:hAnsi="Times New Roman"/>
          <w:color w:val="auto"/>
          <w:sz w:val="21"/>
          <w:szCs w:val="22"/>
          <w:lang w:val="en-US" w:eastAsia="zh-CN"/>
        </w:rPr>
        <w:t>3</w:t>
      </w:r>
      <w:r>
        <w:rPr>
          <w:rFonts w:ascii="Times New Roman" w:hAnsi="Times New Roman"/>
          <w:color w:val="auto"/>
          <w:sz w:val="21"/>
          <w:szCs w:val="22"/>
        </w:rPr>
        <w:t xml:space="preserve"> </w:t>
      </w:r>
      <w:r>
        <w:rPr>
          <w:rFonts w:hint="default" w:ascii="Times New Roman" w:hAnsi="Times New Roman"/>
          <w:color w:val="auto"/>
          <w:sz w:val="21"/>
          <w:szCs w:val="22"/>
        </w:rPr>
        <w:t>日</w:t>
      </w:r>
    </w:p>
    <w:p>
      <w:pPr>
        <w:spacing w:line="360" w:lineRule="auto"/>
        <w:rPr>
          <w:b/>
          <w:sz w:val="36"/>
          <w:szCs w:val="36"/>
        </w:rPr>
      </w:pPr>
    </w:p>
    <w:p>
      <w:pPr>
        <w:widowControl/>
        <w:jc w:val="left"/>
        <w:rPr>
          <w:b/>
          <w:sz w:val="36"/>
          <w:szCs w:val="36"/>
        </w:rPr>
      </w:pPr>
      <w:r>
        <w:rPr>
          <w:b/>
          <w:sz w:val="36"/>
          <w:szCs w:val="36"/>
        </w:rPr>
        <w:br w:type="page"/>
      </w:r>
    </w:p>
    <w:p>
      <w:pPr>
        <w:spacing w:line="360" w:lineRule="auto"/>
        <w:jc w:val="center"/>
        <w:rPr>
          <w:b/>
          <w:sz w:val="36"/>
          <w:szCs w:val="36"/>
        </w:rPr>
      </w:pPr>
      <w:r>
        <w:rPr>
          <w:rFonts w:hint="eastAsia"/>
          <w:b/>
          <w:sz w:val="36"/>
          <w:szCs w:val="36"/>
        </w:rPr>
        <w:t>响 应 报 名 表</w:t>
      </w:r>
    </w:p>
    <w:p>
      <w:pPr>
        <w:pStyle w:val="5"/>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20"/>
                <w:rFonts w:hint="eastAsia" w:ascii="宋体" w:hAnsi="宋体" w:eastAsia="宋体" w:cs="宋体"/>
                <w:szCs w:val="21"/>
                <w:highlight w:val="green"/>
              </w:rPr>
              <w:t>ahjyxs@163.com</w:t>
            </w:r>
            <w:r>
              <w:rPr>
                <w:rStyle w:val="20"/>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5"/>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Pr>
        <w:pStyle w:val="22"/>
        <w:jc w:val="center"/>
        <w:rPr>
          <w:rFonts w:hint="default" w:ascii="Times New Roman" w:hAnsi="Times New Roman"/>
          <w:color w:val="auto"/>
          <w:sz w:val="21"/>
          <w:szCs w:val="22"/>
        </w:rPr>
      </w:pPr>
    </w:p>
    <w:p>
      <w:pPr>
        <w:pStyle w:val="22"/>
        <w:jc w:val="center"/>
        <w:rPr>
          <w:rFonts w:ascii="Times New Roman" w:hAnsi="Times New Roman"/>
          <w:color w:val="auto"/>
          <w:sz w:val="21"/>
          <w:szCs w:val="22"/>
        </w:rPr>
      </w:pPr>
      <w:r>
        <w:rPr>
          <w:rFonts w:ascii="Times New Roman" w:hAnsi="Times New Roman"/>
          <w:color w:val="auto"/>
          <w:sz w:val="21"/>
          <w:szCs w:val="22"/>
        </w:rPr>
        <w:t xml:space="preserve">                 </w:t>
      </w: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highlight w:val="none"/>
        </w:rPr>
      </w:pPr>
    </w:p>
    <w:p>
      <w:pPr>
        <w:widowControl/>
        <w:spacing w:line="300" w:lineRule="atLeast"/>
        <w:ind w:firstLine="480"/>
        <w:jc w:val="center"/>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none"/>
        </w:rPr>
      </w:pPr>
      <w:r>
        <w:rPr>
          <w:rFonts w:hint="eastAsia" w:ascii="宋体" w:hAnsi="宋体" w:eastAsia="宋体" w:cs="宋体"/>
          <w:b/>
          <w:bCs/>
          <w:color w:val="000000"/>
          <w:kern w:val="0"/>
          <w:sz w:val="24"/>
          <w:highlight w:val="none"/>
        </w:rPr>
        <w:t>投资参股的关联企业情况表（与响应报名表一并提交）</w:t>
      </w:r>
    </w:p>
    <w:tbl>
      <w:tblPr>
        <w:tblStyle w:val="14"/>
        <w:tblW w:w="10081" w:type="dxa"/>
        <w:jc w:val="center"/>
        <w:tblCellSpacing w:w="15" w:type="dxa"/>
        <w:tblLayout w:type="fixed"/>
        <w:tblCellMar>
          <w:top w:w="0" w:type="dxa"/>
          <w:left w:w="0" w:type="dxa"/>
          <w:bottom w:w="0" w:type="dxa"/>
          <w:right w:w="0" w:type="dxa"/>
        </w:tblCellMar>
      </w:tblPr>
      <w:tblGrid>
        <w:gridCol w:w="10081"/>
      </w:tblGrid>
      <w:tr>
        <w:tblPrEx>
          <w:tblCellMar>
            <w:top w:w="0" w:type="dxa"/>
            <w:left w:w="0" w:type="dxa"/>
            <w:bottom w:w="0" w:type="dxa"/>
            <w:right w:w="0" w:type="dxa"/>
          </w:tblCellMar>
        </w:tblPrEx>
        <w:trPr>
          <w:trHeight w:val="6925" w:hRule="atLeast"/>
          <w:tblCellSpacing w:w="15" w:type="dxa"/>
          <w:jc w:val="center"/>
        </w:trPr>
        <w:tc>
          <w:tcPr>
            <w:tcW w:w="100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2"/>
              <w:numPr>
                <w:ilvl w:val="0"/>
                <w:numId w:val="0"/>
              </w:numPr>
              <w:ind w:left="417" w:leftChars="0"/>
              <w:rPr>
                <w:rFonts w:hint="eastAsi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7"/>
              <w:rPr>
                <w:rFonts w:hint="eastAsia"/>
                <w:highlight w:val="none"/>
              </w:rPr>
            </w:pPr>
          </w:p>
          <w:p>
            <w:pPr>
              <w:rPr>
                <w:rFonts w:hint="eastAsia"/>
                <w:highlight w:val="none"/>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2"/>
        <w:jc w:val="center"/>
        <w:rPr>
          <w:rFonts w:ascii="Times New Roman" w:hAnsi="Times New Roman"/>
          <w:color w:val="auto"/>
          <w:sz w:val="21"/>
          <w:szCs w:val="22"/>
          <w:highlight w:val="none"/>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both"/>
        <w:rPr>
          <w:rFonts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spacing w:line="440" w:lineRule="exact"/>
        <w:ind w:firstLine="420"/>
        <w:rPr>
          <w:rFonts w:ascii="Times New Roman" w:hAnsi="Times New Roman" w:eastAsia="宋体" w:cs="Times New Roman"/>
          <w:highlight w:val="green"/>
        </w:rPr>
      </w:pPr>
      <w:r>
        <w:rPr>
          <w:rFonts w:hint="eastAsia" w:ascii="Times New Roman" w:hAnsi="Times New Roman" w:eastAsia="宋体" w:cs="Times New Roman"/>
          <w:highlight w:val="green"/>
        </w:rPr>
        <w:t>（4）响应文件需供应商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2665697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4668" w:type="dxa"/>
            <w:vAlign w:val="center"/>
          </w:tcPr>
          <w:p>
            <w:pPr>
              <w:spacing w:line="440" w:lineRule="exact"/>
              <w:jc w:val="left"/>
              <w:rPr>
                <w:rFonts w:ascii="Times New Roman" w:hAnsi="Times New Roman"/>
              </w:rPr>
            </w:pPr>
            <w:r>
              <w:rPr>
                <w:rFonts w:hint="eastAsia" w:ascii="Times New Roman" w:hAnsi="Times New Roman"/>
              </w:rPr>
              <w:t>设备技术性能指标中完全满足供货要求，得满分24分，标</w:t>
            </w:r>
            <w:r>
              <w:rPr>
                <w:rFonts w:hint="eastAsia" w:ascii="宋体" w:hAnsi="宋体"/>
              </w:rPr>
              <w:t>★</w:t>
            </w:r>
            <w:r>
              <w:rPr>
                <w:rFonts w:hint="eastAsia" w:ascii="Times New Roman" w:hAnsi="Times New Roman"/>
              </w:rPr>
              <w:t>技术参数每负偏离一条扣3分，非标</w:t>
            </w:r>
            <w:r>
              <w:rPr>
                <w:rFonts w:hint="eastAsia" w:ascii="宋体" w:hAnsi="宋体"/>
              </w:rPr>
              <w:t>★</w:t>
            </w:r>
            <w:r>
              <w:rPr>
                <w:rFonts w:hint="eastAsia" w:ascii="Times New Roman" w:hAnsi="Times New Roman"/>
              </w:rPr>
              <w:t>技术参数每负偏离一条扣1分，扣完为止。</w:t>
            </w:r>
          </w:p>
          <w:p>
            <w:pPr>
              <w:spacing w:line="440" w:lineRule="exact"/>
              <w:jc w:val="left"/>
              <w:rPr>
                <w:rFonts w:ascii="Times New Roman" w:hAnsi="Times New Roman"/>
              </w:rPr>
            </w:pPr>
            <w:r>
              <w:rPr>
                <w:rFonts w:hint="eastAsia" w:ascii="Times New Roman" w:hAnsi="Times New Roman"/>
                <w:b/>
              </w:rPr>
              <w:t>注：</w:t>
            </w:r>
            <w:r>
              <w:rPr>
                <w:rFonts w:hint="eastAsia" w:ascii="Times New Roman" w:hAnsi="Times New Roman"/>
                <w:b/>
                <w:szCs w:val="21"/>
              </w:rPr>
              <w:t>其中</w:t>
            </w:r>
            <w:r>
              <w:rPr>
                <w:rFonts w:hint="eastAsia" w:ascii="Times New Roman" w:hAnsi="Times New Roman"/>
                <w:b/>
              </w:rPr>
              <w:t>标</w:t>
            </w:r>
            <w:r>
              <w:rPr>
                <w:rFonts w:hint="eastAsia" w:ascii="宋体" w:hAnsi="宋体"/>
                <w:b/>
              </w:rPr>
              <w:t>★</w:t>
            </w:r>
            <w:r>
              <w:rPr>
                <w:rFonts w:hint="eastAsia" w:ascii="Times New Roman" w:hAnsi="Times New Roman"/>
                <w:b/>
                <w:szCs w:val="21"/>
              </w:rPr>
              <w:t>的技术参数项目</w:t>
            </w:r>
            <w:r>
              <w:rPr>
                <w:rFonts w:hint="eastAsia" w:ascii="Times New Roman" w:hAnsi="Times New Roman"/>
                <w:szCs w:val="21"/>
              </w:rPr>
              <w:t>，必须提供相应有效证明材料，</w:t>
            </w:r>
            <w:r>
              <w:rPr>
                <w:rFonts w:hint="eastAsia" w:ascii="Times New Roman" w:hAnsi="Times New Roman"/>
              </w:rPr>
              <w:t>可提供图片宣传彩页或使用说明书或第三方权威机构检测报告或权威机构的公告网页截图或权威机构测评网页截图或专利证书或其他有效证明资料等，否则视为负偏离。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5"/>
            </w:pPr>
            <w:r>
              <w:rPr>
                <w:rFonts w:hint="eastAsia"/>
              </w:rPr>
              <w:t>满足资格业绩要求，得基本分1分。</w:t>
            </w:r>
          </w:p>
          <w:p>
            <w:pPr>
              <w:pStyle w:val="5"/>
            </w:pPr>
            <w:r>
              <w:rPr>
                <w:rFonts w:hint="eastAsia"/>
              </w:rPr>
              <w:t>除资格业绩外，投标人自2020年1月1日（以合同签订时间为准）至今，每提供一份液态除雪车车供货业绩，加0.5分，最多加3分。</w:t>
            </w:r>
          </w:p>
          <w:p>
            <w:pPr>
              <w:pStyle w:val="5"/>
            </w:pPr>
            <w:r>
              <w:rPr>
                <w:rFonts w:hint="eastAsia"/>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4. 所投品牌设备制造商企业获得七星级售后服务体系完善程度认证证书的得1分；以上提供证明文件复印件，原件备查。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5"/>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jc w:val="center"/>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840" w:firstLineChars="1200"/>
        <w:jc w:val="both"/>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789"/>
        <w:gridCol w:w="1636"/>
        <w:gridCol w:w="15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789"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636"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50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70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5"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704"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%作为质保金。质保金期限（24 个月），质保期内如发生质量问题（非买方原因），乙方需及时负责返修，否则甲方有权委托其它单位维修，费用从质保金中扣除，在质保期满后（ 24个月）甲方将剩余的保留金无息退还给乙方。</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pStyle w:val="2"/>
        <w:numPr>
          <w:ilvl w:val="0"/>
          <w:numId w:val="0"/>
        </w:numPr>
        <w:ind w:left="417" w:leftChars="0"/>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4"/>
        <w:tblW w:w="98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8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26" w:type="dxa"/>
          </w:tcPr>
          <w:p>
            <w:pPr>
              <w:adjustRightInd w:val="0"/>
              <w:snapToGrid w:val="0"/>
              <w:jc w:val="center"/>
              <w:rPr>
                <w:rFonts w:ascii="宋体" w:hAnsi="宋体" w:cs="宋体"/>
                <w:b/>
                <w:bCs/>
                <w:sz w:val="22"/>
                <w:szCs w:val="22"/>
              </w:rPr>
            </w:pPr>
            <w:r>
              <w:rPr>
                <w:rFonts w:hint="eastAsia" w:ascii="宋体" w:hAnsi="宋体" w:cs="宋体"/>
                <w:b/>
                <w:bCs/>
                <w:sz w:val="22"/>
                <w:szCs w:val="22"/>
              </w:rPr>
              <w:t>一</w:t>
            </w:r>
          </w:p>
        </w:tc>
        <w:tc>
          <w:tcPr>
            <w:tcW w:w="8858" w:type="dxa"/>
          </w:tcPr>
          <w:p>
            <w:pPr>
              <w:adjustRightInd w:val="0"/>
              <w:snapToGrid w:val="0"/>
              <w:rPr>
                <w:rFonts w:ascii="宋体" w:hAnsi="宋体" w:cs="宋体"/>
                <w:b/>
                <w:bCs/>
                <w:sz w:val="22"/>
                <w:szCs w:val="22"/>
              </w:rPr>
            </w:pPr>
            <w:r>
              <w:rPr>
                <w:rFonts w:hint="eastAsia" w:ascii="宋体" w:hAnsi="宋体" w:cs="宋体"/>
                <w:b/>
                <w:bCs/>
                <w:sz w:val="22"/>
                <w:szCs w:val="22"/>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1.</w:t>
            </w:r>
          </w:p>
        </w:tc>
        <w:tc>
          <w:tcPr>
            <w:tcW w:w="8858" w:type="dxa"/>
          </w:tcPr>
          <w:p>
            <w:pPr>
              <w:adjustRightInd w:val="0"/>
              <w:snapToGrid w:val="0"/>
              <w:rPr>
                <w:rFonts w:ascii="宋体" w:hAnsi="宋体" w:cs="宋体"/>
                <w:sz w:val="22"/>
                <w:szCs w:val="22"/>
              </w:rPr>
            </w:pPr>
            <w:r>
              <w:rPr>
                <w:rFonts w:hint="eastAsia" w:ascii="宋体" w:hAnsi="宋体" w:cs="宋体"/>
                <w:sz w:val="22"/>
                <w:szCs w:val="22"/>
              </w:rPr>
              <w:t>用途: 本车辆主要用于高速公路除雪保畅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2.</w:t>
            </w:r>
          </w:p>
        </w:tc>
        <w:tc>
          <w:tcPr>
            <w:tcW w:w="8858" w:type="dxa"/>
          </w:tcPr>
          <w:p>
            <w:pPr>
              <w:adjustRightInd w:val="0"/>
              <w:snapToGrid w:val="0"/>
              <w:rPr>
                <w:rFonts w:ascii="宋体" w:hAnsi="宋体" w:cs="宋体"/>
                <w:sz w:val="22"/>
                <w:szCs w:val="22"/>
              </w:rPr>
            </w:pPr>
            <w:r>
              <w:rPr>
                <w:rFonts w:hint="eastAsia" w:ascii="宋体" w:hAnsi="宋体" w:cs="宋体"/>
                <w:sz w:val="22"/>
                <w:szCs w:val="22"/>
              </w:rPr>
              <w:t>数量：多功能除雪车整车1辆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3.</w:t>
            </w:r>
          </w:p>
        </w:tc>
        <w:tc>
          <w:tcPr>
            <w:tcW w:w="8858" w:type="dxa"/>
          </w:tcPr>
          <w:p>
            <w:pPr>
              <w:adjustRightInd w:val="0"/>
              <w:snapToGrid w:val="0"/>
              <w:rPr>
                <w:rFonts w:ascii="宋体" w:hAnsi="宋体" w:cs="宋体"/>
                <w:sz w:val="22"/>
                <w:szCs w:val="22"/>
              </w:rPr>
            </w:pPr>
            <w:r>
              <w:rPr>
                <w:rFonts w:hint="eastAsia" w:ascii="宋体" w:hAnsi="宋体" w:cs="宋体"/>
                <w:sz w:val="22"/>
                <w:szCs w:val="22"/>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026" w:type="dxa"/>
          </w:tcPr>
          <w:p>
            <w:pPr>
              <w:adjustRightInd w:val="0"/>
              <w:snapToGrid w:val="0"/>
              <w:jc w:val="center"/>
              <w:rPr>
                <w:rFonts w:ascii="宋体" w:hAnsi="宋体" w:cs="宋体"/>
                <w:sz w:val="22"/>
                <w:szCs w:val="22"/>
              </w:rPr>
            </w:pPr>
          </w:p>
        </w:tc>
        <w:tc>
          <w:tcPr>
            <w:tcW w:w="8858" w:type="dxa"/>
          </w:tcPr>
          <w:p>
            <w:pPr>
              <w:adjustRightInd w:val="0"/>
              <w:snapToGrid w:val="0"/>
              <w:rPr>
                <w:rFonts w:ascii="宋体" w:hAnsi="宋体" w:cs="宋体"/>
                <w:sz w:val="22"/>
                <w:szCs w:val="22"/>
              </w:rPr>
            </w:pPr>
            <w:r>
              <w:rPr>
                <w:rFonts w:hint="eastAsia" w:ascii="宋体" w:hAnsi="宋体"/>
                <w:szCs w:val="21"/>
              </w:rPr>
              <w:t>整车（含雪铲系统、液体撒布系统）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026" w:type="dxa"/>
          </w:tcPr>
          <w:p>
            <w:pPr>
              <w:adjustRightInd w:val="0"/>
              <w:snapToGrid w:val="0"/>
              <w:jc w:val="center"/>
              <w:rPr>
                <w:rFonts w:ascii="宋体" w:hAnsi="宋体" w:cs="宋体"/>
                <w:sz w:val="22"/>
                <w:szCs w:val="22"/>
              </w:rPr>
            </w:pPr>
          </w:p>
        </w:tc>
        <w:tc>
          <w:tcPr>
            <w:tcW w:w="8858" w:type="dxa"/>
          </w:tcPr>
          <w:p>
            <w:pPr>
              <w:adjustRightInd w:val="0"/>
              <w:snapToGrid w:val="0"/>
              <w:rPr>
                <w:rFonts w:ascii="宋体" w:hAnsi="宋体" w:cs="宋体"/>
                <w:sz w:val="22"/>
                <w:szCs w:val="22"/>
              </w:rPr>
            </w:pPr>
            <w:r>
              <w:rPr>
                <w:rFonts w:hint="eastAsia" w:ascii="宋体" w:hAnsi="宋体" w:cs="宋体"/>
                <w:sz w:val="22"/>
                <w:szCs w:val="22"/>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026" w:type="dxa"/>
          </w:tcPr>
          <w:p>
            <w:pPr>
              <w:adjustRightInd w:val="0"/>
              <w:snapToGrid w:val="0"/>
              <w:jc w:val="center"/>
              <w:rPr>
                <w:rFonts w:ascii="宋体" w:hAnsi="宋体" w:cs="宋体"/>
                <w:sz w:val="22"/>
                <w:szCs w:val="22"/>
              </w:rPr>
            </w:pPr>
          </w:p>
        </w:tc>
        <w:tc>
          <w:tcPr>
            <w:tcW w:w="8858" w:type="dxa"/>
          </w:tcPr>
          <w:p>
            <w:pPr>
              <w:adjustRightInd w:val="0"/>
              <w:snapToGrid w:val="0"/>
              <w:rPr>
                <w:rFonts w:ascii="宋体" w:hAnsi="宋体" w:cs="宋体"/>
                <w:sz w:val="22"/>
                <w:szCs w:val="22"/>
              </w:rPr>
            </w:pPr>
            <w:r>
              <w:rPr>
                <w:rFonts w:hint="eastAsia" w:ascii="宋体" w:hAnsi="宋体" w:cs="宋体"/>
                <w:sz w:val="22"/>
                <w:szCs w:val="22"/>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26" w:type="dxa"/>
          </w:tcPr>
          <w:p>
            <w:pPr>
              <w:adjustRightInd w:val="0"/>
              <w:snapToGrid w:val="0"/>
              <w:jc w:val="center"/>
              <w:rPr>
                <w:rFonts w:ascii="宋体" w:hAnsi="宋体" w:cs="宋体"/>
                <w:sz w:val="22"/>
                <w:szCs w:val="22"/>
              </w:rPr>
            </w:pPr>
          </w:p>
        </w:tc>
        <w:tc>
          <w:tcPr>
            <w:tcW w:w="8858" w:type="dxa"/>
          </w:tcPr>
          <w:p>
            <w:pPr>
              <w:adjustRightInd w:val="0"/>
              <w:snapToGrid w:val="0"/>
              <w:rPr>
                <w:rFonts w:ascii="宋体" w:hAnsi="宋体" w:cs="宋体"/>
                <w:sz w:val="22"/>
                <w:szCs w:val="22"/>
              </w:rPr>
            </w:pPr>
            <w:r>
              <w:rPr>
                <w:rFonts w:hint="eastAsia" w:ascii="宋体" w:hAnsi="宋体" w:cs="宋体"/>
                <w:sz w:val="22"/>
                <w:szCs w:val="22"/>
              </w:rPr>
              <w:t>运输和保险仓储等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026" w:type="dxa"/>
          </w:tcPr>
          <w:p>
            <w:pPr>
              <w:adjustRightInd w:val="0"/>
              <w:snapToGrid w:val="0"/>
              <w:jc w:val="center"/>
              <w:rPr>
                <w:rFonts w:ascii="宋体" w:hAnsi="宋体" w:cs="宋体"/>
                <w:sz w:val="22"/>
                <w:szCs w:val="22"/>
              </w:rPr>
            </w:pP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商业保险及上牌费（含交强险、车损险（≥车价）、第三者责任险(100万元)、自燃险、人员险10万元/人×座位数、不计免赔特约、玻璃破碎险。上牌时,须按买方指定地点和方式执行,选择的牌号也须经买方认可。买方配合提供企业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vAlign w:val="center"/>
          </w:tcPr>
          <w:p>
            <w:pPr>
              <w:jc w:val="center"/>
              <w:rPr>
                <w:rFonts w:ascii="宋体" w:hAnsi="宋体"/>
                <w:szCs w:val="21"/>
              </w:rPr>
            </w:pPr>
            <w:r>
              <w:rPr>
                <w:rFonts w:hint="eastAsia" w:ascii="宋体" w:hAnsi="宋体"/>
                <w:szCs w:val="21"/>
              </w:rPr>
              <w:t>4.1</w:t>
            </w:r>
          </w:p>
        </w:tc>
        <w:tc>
          <w:tcPr>
            <w:tcW w:w="8858" w:type="dxa"/>
            <w:vAlign w:val="center"/>
          </w:tcPr>
          <w:p>
            <w:pPr>
              <w:adjustRightInd w:val="0"/>
              <w:snapToGrid w:val="0"/>
              <w:rPr>
                <w:rFonts w:ascii="宋体" w:hAnsi="宋体" w:eastAsia="宋体" w:cs="宋体"/>
                <w:sz w:val="22"/>
                <w:szCs w:val="22"/>
              </w:rPr>
            </w:pPr>
            <w:r>
              <w:rPr>
                <w:rFonts w:hint="eastAsia" w:ascii="宋体" w:hAnsi="宋体" w:eastAsia="宋体" w:cs="宋体"/>
                <w:sz w:val="22"/>
                <w:szCs w:val="22"/>
              </w:rPr>
              <w:t>工作条件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vAlign w:val="center"/>
          </w:tcPr>
          <w:p>
            <w:pPr>
              <w:jc w:val="center"/>
              <w:rPr>
                <w:rFonts w:ascii="宋体" w:hAnsi="宋体"/>
                <w:szCs w:val="21"/>
              </w:rPr>
            </w:pPr>
          </w:p>
        </w:tc>
        <w:tc>
          <w:tcPr>
            <w:tcW w:w="8858" w:type="dxa"/>
            <w:vAlign w:val="center"/>
          </w:tcPr>
          <w:p>
            <w:pPr>
              <w:adjustRightInd w:val="0"/>
              <w:snapToGrid w:val="0"/>
              <w:rPr>
                <w:rFonts w:ascii="宋体" w:hAnsi="宋体" w:eastAsia="宋体" w:cs="宋体"/>
                <w:sz w:val="22"/>
                <w:szCs w:val="22"/>
              </w:rPr>
            </w:pPr>
            <w:r>
              <w:rPr>
                <w:rFonts w:hint="eastAsia" w:ascii="宋体" w:hAnsi="宋体" w:eastAsia="宋体" w:cs="宋体"/>
                <w:sz w:val="22"/>
                <w:szCs w:val="22"/>
              </w:rPr>
              <w:t>工作场所：室外、露天；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vAlign w:val="center"/>
          </w:tcPr>
          <w:p>
            <w:pPr>
              <w:jc w:val="center"/>
              <w:rPr>
                <w:rFonts w:ascii="宋体" w:hAnsi="宋体"/>
                <w:szCs w:val="21"/>
              </w:rPr>
            </w:pPr>
          </w:p>
        </w:tc>
        <w:tc>
          <w:tcPr>
            <w:tcW w:w="8858" w:type="dxa"/>
            <w:vAlign w:val="center"/>
          </w:tcPr>
          <w:p>
            <w:pPr>
              <w:adjustRightInd w:val="0"/>
              <w:snapToGrid w:val="0"/>
              <w:rPr>
                <w:rFonts w:ascii="宋体" w:hAnsi="宋体" w:eastAsia="宋体" w:cs="宋体"/>
                <w:sz w:val="22"/>
                <w:szCs w:val="22"/>
              </w:rPr>
            </w:pPr>
            <w:r>
              <w:rPr>
                <w:rFonts w:hint="eastAsia" w:ascii="宋体" w:hAnsi="宋体" w:eastAsia="宋体" w:cs="宋体"/>
                <w:sz w:val="22"/>
                <w:szCs w:val="22"/>
              </w:rPr>
              <w:t>环境温度：摄氏-15℃～45℃；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vAlign w:val="center"/>
          </w:tcPr>
          <w:p>
            <w:pPr>
              <w:widowControl/>
              <w:jc w:val="center"/>
              <w:rPr>
                <w:rFonts w:ascii="宋体" w:hAnsi="宋体"/>
                <w:szCs w:val="21"/>
              </w:rPr>
            </w:pPr>
          </w:p>
        </w:tc>
        <w:tc>
          <w:tcPr>
            <w:tcW w:w="8858" w:type="dxa"/>
            <w:vAlign w:val="center"/>
          </w:tcPr>
          <w:p>
            <w:pPr>
              <w:adjustRightInd w:val="0"/>
              <w:snapToGrid w:val="0"/>
              <w:rPr>
                <w:rFonts w:ascii="宋体" w:hAnsi="宋体" w:eastAsia="宋体" w:cs="宋体"/>
                <w:sz w:val="22"/>
                <w:szCs w:val="22"/>
              </w:rPr>
            </w:pPr>
            <w:r>
              <w:rPr>
                <w:rFonts w:hint="eastAsia" w:ascii="宋体" w:hAnsi="宋体" w:eastAsia="宋体" w:cs="宋体"/>
                <w:sz w:val="22"/>
                <w:szCs w:val="22"/>
              </w:rPr>
              <w:t>现场环境：潮湿，充满灰尘；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用途：用于高速公路道桥面冬季除雪铲冰作业；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 xml:space="preserve">主车底盘生产厂家/产地/型号(不低于解放、重汽、东风或更优品牌)；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4.2.3</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提供整车型号：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4.2.4</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提供3C认证和环保公告并包含在国家税务总局免征车辆购置附加税图册内（报价文件中须提供3C认证证书复印件，以及环保公告复印件和免税图册所在页码。）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4.2.5</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整车形式：车底盘前置除雪铲、后装融雪剂撒布系统，带全功率取力器，后期可加装滚刷，并且能够与除雪铲进行快速互换；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4.2.6</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整车外形尺寸（安装除雪铲后，长×宽×高mm）：(12000±×2550±×3250)±300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4.2.7</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*底盘总质量：≥25000kg，额定载质量≥8000kg，整备质量≥16500kg；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4.2.8</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 xml:space="preserve">提供柴油发动机生产厂家/产地/型号（不低于潍柴、玉柴发动机或更优品牌）：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4.2.9</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*发动机功率：≥280kw，排放国六或更优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4.2.10</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轴距：≤4300+1350mm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4.2.11</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轮胎：全钢丝轮胎12.00R20或更优，配有备用胎1个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highlight w:val="yellow"/>
              </w:rPr>
            </w:pPr>
            <w:r>
              <w:rPr>
                <w:rFonts w:hint="eastAsia" w:ascii="宋体" w:hAnsi="宋体" w:cs="宋体"/>
                <w:sz w:val="22"/>
                <w:szCs w:val="22"/>
              </w:rPr>
              <w:t>4.2.12</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车载液压系统，全功率取力器直接通过发动机取力(须在报价文件中提供图片）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4.2.13</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*除雪铲板面采用全塑材质板面，板面有钢制框架保护，具有抗撞击能力，具有快速连接系统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4.2.14</w:t>
            </w:r>
          </w:p>
        </w:tc>
        <w:tc>
          <w:tcPr>
            <w:tcW w:w="8858" w:type="dxa"/>
          </w:tcPr>
          <w:p>
            <w:pPr>
              <w:adjustRightInd w:val="0"/>
              <w:snapToGrid w:val="0"/>
              <w:rPr>
                <w:rFonts w:ascii="宋体" w:hAnsi="宋体" w:cs="宋体"/>
                <w:b/>
                <w:sz w:val="22"/>
                <w:szCs w:val="22"/>
              </w:rPr>
            </w:pPr>
            <w:r>
              <w:rPr>
                <w:rFonts w:hint="eastAsia" w:ascii="宋体" w:hAnsi="宋体" w:eastAsia="宋体" w:cs="宋体"/>
                <w:b/>
                <w:sz w:val="22"/>
                <w:szCs w:val="22"/>
              </w:rPr>
              <w:t>*铲刃结构：雪铲铲刃采用橡胶与钢制双铲刃结构，以应对不同路况雪情。钢制铲刃与橡胶铲刃能通过驾驶室内控制器快速互换；（提供近景实物图片）。</w:t>
            </w:r>
            <w:r>
              <w:rPr>
                <w:rFonts w:hint="eastAsia" w:ascii="宋体" w:hAnsi="宋体" w:cs="宋体-18030"/>
                <w:b/>
                <w:bCs/>
                <w:color w:val="FF0000"/>
                <w:sz w:val="22"/>
                <w:szCs w:val="22"/>
              </w:rPr>
              <w:t>另单独提供一套同规格钢制铲刃与橡胶铲刃。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4.2.15</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*除雪铲宽：≥3600mm，工作宽度：≥3100mm, 可液压控制左右摆动角度左右摆动角度：≥0-±25度，除雪铲高：≥1300mm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4.2.16</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除雪铲采用弯曲流线型设计从而高速下具有抛雪功能，最大除雪速度：≥60km/h。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4.2.17</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除雪铲液压系统驱动全部各种动作并可车内实施控制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4.2.18</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*除雪板具有自动避障、自动复位功能，钢制铲刃避障形式为式液压避障，以保证除雪作业安全平稳进行，越障高度：≥150mm（提供彩色图片证明）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4.2.19</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除雪铲两边安装适当高度LED工作警示灯；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4.2.20</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*撒布机容量≥16000L，水罐材质：聚乙烯，单片水箱容积2m³，水箱数量≥8个（提供彩色图片证明）；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4.2.21</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洒水组件包括前置鸭嘴洒水2个、中置对冲洒水2个、后置水坨洒水2个；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4.2.22</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水罐设有低水位传感报警系统；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4.2.23</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水箱内部配置内循环系统，可达到盐水持续搅拌功能；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4.2.24</w:t>
            </w:r>
          </w:p>
        </w:tc>
        <w:tc>
          <w:tcPr>
            <w:tcW w:w="8858" w:type="dxa"/>
          </w:tcPr>
          <w:p>
            <w:pPr>
              <w:adjustRightInd w:val="0"/>
              <w:snapToGrid w:val="0"/>
              <w:rPr>
                <w:rFonts w:ascii="宋体" w:hAnsi="宋体" w:eastAsia="宋体" w:cs="宋体"/>
                <w:sz w:val="22"/>
                <w:szCs w:val="22"/>
              </w:rPr>
            </w:pPr>
            <w:r>
              <w:rPr>
                <w:rFonts w:hint="eastAsia" w:ascii="宋体" w:hAnsi="宋体" w:eastAsia="宋体" w:cs="宋体"/>
                <w:sz w:val="22"/>
                <w:szCs w:val="22"/>
              </w:rPr>
              <w:t>撒布宽度：标准三车道撒布作业，最大撒布宽度不小于12米，可根据路况进行左右、中三车道同时或单独撒布；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4.2.25</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*撒布量：要求智能撒播设备的喷洒剂量能够设定每平方米撒布量，要求有剂量档位，喷洒剂量精确设定后不受车速、发动机转速、喷洒宽度等参数影响， 撒布量范围 40-160g/m2,旋钮式控制，控制精度：≤10g/m2，可在显示屏端显示撒布量；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4.2.26</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喷洒系统：喷洒系统由离心水泵，喷洒管道，喷嘴等几大部分组成，为增加喷洒系统的抗腐蚀性，以上主要部件均需要采用304及以上不锈钢材质或耐腐蚀聚乙烯材质。喷嘴角度可调，以适应不同路况，喷嘴数量需大于45个，扇形撒布，以便覆盖所有车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4.2.27</w:t>
            </w:r>
          </w:p>
        </w:tc>
        <w:tc>
          <w:tcPr>
            <w:tcW w:w="8858" w:type="dxa"/>
          </w:tcPr>
          <w:p>
            <w:pPr>
              <w:adjustRightInd w:val="0"/>
              <w:snapToGrid w:val="0"/>
              <w:rPr>
                <w:rFonts w:ascii="宋体" w:hAnsi="宋体" w:eastAsia="宋体" w:cs="宋体"/>
                <w:b/>
                <w:sz w:val="22"/>
                <w:szCs w:val="22"/>
              </w:rPr>
            </w:pPr>
            <w:r>
              <w:rPr>
                <w:rFonts w:hint="eastAsia" w:ascii="宋体" w:hAnsi="宋体" w:eastAsia="宋体" w:cs="宋体"/>
                <w:b/>
                <w:sz w:val="22"/>
                <w:szCs w:val="22"/>
              </w:rPr>
              <w:t>*喷杆：三组，每组喷杆喷嘴随车速自动调节融雪剂大小（提供喷洒杆实物照片）；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4.2.28</w:t>
            </w:r>
          </w:p>
        </w:tc>
        <w:tc>
          <w:tcPr>
            <w:tcW w:w="8858" w:type="dxa"/>
            <w:vAlign w:val="center"/>
          </w:tcPr>
          <w:p>
            <w:pPr>
              <w:adjustRightInd w:val="0"/>
              <w:snapToGrid w:val="0"/>
              <w:rPr>
                <w:rFonts w:ascii="宋体" w:hAnsi="宋体" w:cs="宋体"/>
                <w:sz w:val="22"/>
                <w:szCs w:val="22"/>
              </w:rPr>
            </w:pPr>
            <w:r>
              <w:rPr>
                <w:rFonts w:hint="eastAsia" w:ascii="宋体" w:hAnsi="宋体" w:cs="宋体"/>
                <w:sz w:val="22"/>
                <w:szCs w:val="22"/>
              </w:rPr>
              <w:t>整车车身颜色为工程黄色，均须安装晚间工作时的车后双向灯，长牌警示，驾驶室内应有收音机等设备，带冷暖空调，座位：≥2；均带助力转向装置、随车简易车辆维修工具、轮胎装卸工具、10吨千斤顶等。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26" w:type="dxa"/>
          </w:tcPr>
          <w:p>
            <w:pPr>
              <w:adjustRightInd w:val="0"/>
              <w:snapToGrid w:val="0"/>
              <w:jc w:val="center"/>
              <w:rPr>
                <w:rFonts w:ascii="宋体" w:hAnsi="宋体" w:cs="宋体"/>
                <w:sz w:val="22"/>
                <w:szCs w:val="22"/>
              </w:rPr>
            </w:pPr>
            <w:r>
              <w:rPr>
                <w:rFonts w:hint="eastAsia" w:ascii="宋体" w:hAnsi="宋体" w:cs="宋体"/>
                <w:sz w:val="22"/>
                <w:szCs w:val="22"/>
              </w:rPr>
              <w:t>4.3</w:t>
            </w:r>
          </w:p>
        </w:tc>
        <w:tc>
          <w:tcPr>
            <w:tcW w:w="8858" w:type="dxa"/>
            <w:vAlign w:val="center"/>
          </w:tcPr>
          <w:p>
            <w:pPr>
              <w:adjustRightInd w:val="0"/>
              <w:snapToGrid w:val="0"/>
              <w:rPr>
                <w:rFonts w:ascii="宋体" w:hAnsi="宋体" w:cs="宋体"/>
                <w:sz w:val="22"/>
                <w:szCs w:val="22"/>
              </w:rPr>
            </w:pPr>
            <w:r>
              <w:rPr>
                <w:rFonts w:hint="eastAsia" w:ascii="宋体" w:hAnsi="宋体" w:cs="宋体"/>
                <w:sz w:val="22"/>
                <w:szCs w:val="22"/>
              </w:rPr>
              <w:t>交货期：≤45 天（日历日，具体以合同约定为准）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p>
        </w:tc>
        <w:tc>
          <w:tcPr>
            <w:tcW w:w="8858" w:type="dxa"/>
            <w:vAlign w:val="center"/>
          </w:tcPr>
          <w:p>
            <w:pPr>
              <w:adjustRightInd w:val="0"/>
              <w:snapToGrid w:val="0"/>
              <w:rPr>
                <w:rFonts w:ascii="宋体" w:hAnsi="宋体" w:cs="宋体"/>
                <w:sz w:val="22"/>
                <w:szCs w:val="22"/>
              </w:rPr>
            </w:pPr>
            <w:r>
              <w:rPr>
                <w:rFonts w:hint="eastAsia" w:ascii="宋体" w:hAnsi="宋体" w:cs="宋体"/>
                <w:sz w:val="22"/>
                <w:szCs w:val="22"/>
              </w:rPr>
              <w:t>质保期：24个月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26" w:type="dxa"/>
          </w:tcPr>
          <w:p>
            <w:pPr>
              <w:adjustRightInd w:val="0"/>
              <w:snapToGrid w:val="0"/>
              <w:jc w:val="center"/>
              <w:rPr>
                <w:rFonts w:ascii="宋体" w:hAnsi="宋体" w:cs="宋体"/>
                <w:sz w:val="22"/>
                <w:szCs w:val="22"/>
              </w:rPr>
            </w:pPr>
          </w:p>
        </w:tc>
        <w:tc>
          <w:tcPr>
            <w:tcW w:w="8858" w:type="dxa"/>
            <w:vAlign w:val="center"/>
          </w:tcPr>
          <w:p>
            <w:pPr>
              <w:adjustRightInd w:val="0"/>
              <w:snapToGrid w:val="0"/>
              <w:rPr>
                <w:rFonts w:ascii="宋体" w:hAnsi="宋体" w:cs="宋体"/>
                <w:sz w:val="22"/>
                <w:szCs w:val="22"/>
              </w:rPr>
            </w:pPr>
          </w:p>
        </w:tc>
      </w:tr>
    </w:tbl>
    <w:p>
      <w:pPr>
        <w:rPr>
          <w:rFonts w:ascii="Times New Roman" w:hAnsi="Times New Roman" w:eastAsia="宋体" w:cs="Times New Roman"/>
          <w:highlight w:val="green"/>
        </w:rPr>
      </w:pPr>
    </w:p>
    <w:p>
      <w:pPr>
        <w:pStyle w:val="5"/>
        <w:rPr>
          <w:rFonts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1.基本要求</w:t>
      </w:r>
      <w:bookmarkStart w:id="79" w:name="_Toc27869"/>
      <w:bookmarkStart w:id="80" w:name="_Toc3125"/>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 机械设计合理，制造工艺先进，安全装置齐全可靠。</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1.2 操作灵便，可维护性强。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1.3 标准配置包括保证车辆设备正常工作所需的附件、工具和随机备件，并有装箱单。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1.4.随机配有车辆设备使用保养说明书、发动机保养说明书和零部件图册。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1.5所供车辆的漆面必须是原厂漆面、应清洁光亮；不得有脱漆、色差、划痕和瘪窝。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1.6车辆内部的座椅及其他内饰件应完整清洁．不得有划伤、污点，使用时应方便灵活。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1.7车辆内、外部的灯光应齐全、有效。</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1.12车辆交付为整车，含出厂标准配置和厂家选装配置（若买方要求且出厂不含）及特殊要求配置（若买方要求且厂家没有时可另购加装），所交付车辆制造日期必须为2023年1月1日以后。</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2.主要技术参数与要求</w:t>
      </w:r>
      <w:bookmarkEnd w:id="79"/>
      <w:bookmarkEnd w:id="80"/>
      <w:bookmarkStart w:id="81" w:name="_Toc28261"/>
      <w:bookmarkStart w:id="82" w:name="_Toc25299"/>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2.1 参见的内容，需对其中所列各项指标和要求逐项明确响应。</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2.2车底盘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2．2．1在改装中，对底盘的主要结构不得进行伤害性改动，整车的动力性、安全性、经济性、操纵性能及环保性能等主要技术指标在同比条件下不得低于原底盘的相应指标。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2.3其他说明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2.3.1车辆配全套保养、维修专用工具，该项费用计入总报价中；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2.3.2配备随机及满足车辆正常使用需要的备品、备件，该项费用计入投标总报价中；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2.3．3除正常的灯光照明系统外尚须配带后照灯工作装置、闪烁警示灯等，该项费用计入投标总报价中；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2.3.4提供发动机额定状态下燃油消耗率。</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3.技术服务范围及验收标准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1、车辆规格性能均应符合或优于本标书的要求且为“零公里”新车，交货时每辆车须带≥50升燃油。</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2、厂家提供使用说明书及维修手册1套。</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3、厂家出示检验报告及合格证明。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4、外观上灯光和仪表应灵敏、完整、清晰、准确，整机涂漆光泽均匀、无油漆脱落锈蚀、碰伤，附具齐全完整。</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5、各部件性能可靠，无渗漏，无异响，转动灵活，制动良好。</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6、验收期限：交货后一周内。</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4.培训要求基本服务要求</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4.1讲解车辆安全操作规范、安全操作程序、用途、结构及维护和保养方法；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3" w:name="_Toc2123"/>
      <w:bookmarkStart w:id="84" w:name="_Toc29210"/>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0" w:firstLineChars="200"/>
        <w:rPr>
          <w:rFonts w:ascii="宋体" w:hAnsi="宋体" w:eastAsia="宋体" w:cs="宋体"/>
          <w:bCs/>
          <w:szCs w:val="21"/>
        </w:rPr>
      </w:pP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3"/>
      <w:bookmarkEnd w:id="84"/>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5.6售后服务：完善售后服务计划，每年不少于两次质量回访，提供维护保养巡检报告。给予终身技术指导。</w:t>
      </w: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27552_WPSOffice_Level1"/>
      <w:bookmarkStart w:id="87" w:name="_Toc17394_WPSOffice_Level1"/>
      <w:bookmarkStart w:id="88" w:name="_Toc1914_WPSOffice_Level1"/>
      <w:bookmarkStart w:id="89" w:name="_Toc5145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30529_WPSOffice_Level1"/>
      <w:bookmarkStart w:id="97" w:name="_Toc11424_WPSOffice_Level1"/>
      <w:bookmarkStart w:id="98" w:name="_Toc23368_WPSOffice_Level1"/>
      <w:bookmarkStart w:id="99" w:name="_Toc6353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21229_WPSOffice_Level1"/>
      <w:bookmarkStart w:id="102" w:name="_Toc5317_WPSOffice_Level1"/>
      <w:bookmarkStart w:id="103" w:name="_Toc31927_WPSOffice_Level1"/>
      <w:bookmarkStart w:id="104" w:name="_Toc327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7453_WPSOffice_Level1"/>
      <w:bookmarkStart w:id="110" w:name="_Toc23744_WPSOffice_Level1"/>
      <w:bookmarkStart w:id="111" w:name="_Toc18964_WPSOffice_Level1"/>
      <w:bookmarkStart w:id="112"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23751_WPSOffice_Level1"/>
      <w:bookmarkStart w:id="114" w:name="_Toc9006_WPSOffice_Level1"/>
      <w:bookmarkStart w:id="115" w:name="_Toc19601_WPSOffice_Level1"/>
      <w:bookmarkStart w:id="116" w:name="_Toc1578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27403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32152_WPSOffice_Level1"/>
      <w:bookmarkStart w:id="128" w:name="_Toc4051_WPSOffice_Level1"/>
      <w:bookmarkStart w:id="129" w:name="_Toc30234_WPSOffice_Level1"/>
      <w:bookmarkStart w:id="130" w:name="_Toc23147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5885_WPSOffice_Level1"/>
      <w:bookmarkStart w:id="132" w:name="_Toc16988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30031_WPSOffice_Level1"/>
      <w:bookmarkStart w:id="134" w:name="_Toc18312_WPSOffice_Level1"/>
      <w:bookmarkStart w:id="135" w:name="_Toc1687_WPSOffice_Level1"/>
      <w:bookmarkStart w:id="136" w:name="_Toc29399_WPSOffice_Level1"/>
      <w:bookmarkStart w:id="137" w:name="_Toc2765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5"/>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rPr>
          <w:rFonts w:ascii="Times New Roman" w:hAnsi="Times New Roman" w:cs="Times New Roman"/>
          <w:sz w:val="24"/>
        </w:rPr>
      </w:pPr>
    </w:p>
    <w:p>
      <w:pPr>
        <w:pStyle w:val="2"/>
        <w:numPr>
          <w:numId w:val="0"/>
        </w:numPr>
        <w:ind w:left="417" w:leftChars="0"/>
      </w:pPr>
      <w:bookmarkStart w:id="169" w:name="_GoBack"/>
      <w:bookmarkEnd w:id="169"/>
    </w:p>
    <w:p>
      <w:pPr>
        <w:rPr>
          <w:rFonts w:ascii="Times New Roman" w:hAnsi="Times New Roman" w:cs="Times New Roman"/>
          <w:sz w:val="24"/>
        </w:rPr>
      </w:pPr>
    </w:p>
    <w:p>
      <w:pPr>
        <w:pStyle w:val="2"/>
        <w:numPr>
          <w:numId w:val="0"/>
        </w:numPr>
        <w:ind w:left="417" w:leftChars="0"/>
      </w:pPr>
    </w:p>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4563_WPSOffice_Level1"/>
      <w:bookmarkStart w:id="139" w:name="_Toc8695_WPSOffice_Level1"/>
      <w:bookmarkStart w:id="140" w:name="_Toc18668_WPSOffice_Level1"/>
      <w:bookmarkStart w:id="141" w:name="_Toc12530_WPSOffice_Level1"/>
      <w:bookmarkStart w:id="142" w:name="_Toc3235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5"/>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67_WPSOffice_Level1"/>
      <w:bookmarkStart w:id="148" w:name="_Toc24530_WPSOffice_Level1"/>
      <w:bookmarkStart w:id="149" w:name="_Toc32085_WPSOffice_Level1"/>
      <w:bookmarkStart w:id="150" w:name="_Toc15186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日期：2023年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31445_WPSOffice_Level1"/>
      <w:bookmarkStart w:id="154" w:name="_Toc7738_WPSOffice_Level1"/>
      <w:bookmarkStart w:id="155" w:name="_Toc22815_WPSOffice_Level1"/>
      <w:bookmarkStart w:id="156"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7600_WPSOffice_Level2"/>
      <w:bookmarkStart w:id="158" w:name="_Toc2807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4"/>
        <w:tblW w:w="9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3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8547_WPSOffice_Level1"/>
      <w:bookmarkStart w:id="160" w:name="_Toc19004_WPSOffice_Level1"/>
      <w:bookmarkStart w:id="161" w:name="_Toc5072_WPSOffice_Level1"/>
      <w:bookmarkStart w:id="162" w:name="_Toc1452_WPSOffice_Level1"/>
      <w:bookmarkStart w:id="163" w:name="_Toc37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4"/>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609"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textAlignment w:val="bottom"/>
        <w:rPr>
          <w:rFonts w:ascii="Times New Roman" w:hAnsi="Times New Roman" w:eastAsia="黑体" w:cs="Times New Roman"/>
          <w:sz w:val="20"/>
          <w:szCs w:val="20"/>
        </w:rPr>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val="en-US"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r>
        <w:rPr>
          <w:rFonts w:hint="eastAsia" w:ascii="Times New Roman" w:hAnsi="Times New Roman" w:eastAsia="黑体" w:cs="Times New Roman"/>
          <w:szCs w:val="21"/>
          <w:u w:val="single"/>
          <w:lang w:val="en-US"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12019_WPSOffice_Level1"/>
      <w:bookmarkStart w:id="165" w:name="_Toc9267_WPSOffice_Level1"/>
      <w:bookmarkStart w:id="166" w:name="_Toc3893_WPSOffice_Level1"/>
      <w:bookmarkStart w:id="167" w:name="_Toc5403_WPSOffice_Level1"/>
      <w:bookmarkStart w:id="168"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5"/>
        <w:jc w:val="right"/>
        <w:rPr>
          <w:u w:val="single"/>
        </w:rPr>
      </w:pPr>
      <w:r>
        <w:rPr>
          <w:rFonts w:ascii="Times New Roman" w:hAnsi="Times New Roman" w:cs="Times New Roman"/>
          <w:sz w:val="24"/>
        </w:rPr>
        <w:t>年月日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Spec="center" w:tblpY="835"/>
        <w:tblOverlap w:val="never"/>
        <w:tblW w:w="85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5"/>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5"/>
        <w:jc w:val="center"/>
        <w:rPr>
          <w:rFonts w:ascii="黑体" w:hAnsi="黑体" w:eastAsia="黑体" w:cs="黑体"/>
          <w:sz w:val="28"/>
          <w:szCs w:val="28"/>
        </w:rPr>
      </w:pPr>
    </w:p>
    <w:p>
      <w:pPr>
        <w:pStyle w:val="5"/>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5"/>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宋体" w:hAnsi="宋体" w:eastAsia="宋体" w:cs="宋体"/>
          <w:sz w:val="28"/>
          <w:szCs w:val="28"/>
        </w:rPr>
      </w:pPr>
      <w:r>
        <w:rPr>
          <w:rFonts w:hint="eastAsia" w:ascii="宋体" w:hAnsi="宋体" w:eastAsia="宋体" w:cs="宋体"/>
          <w:sz w:val="28"/>
          <w:szCs w:val="28"/>
        </w:rPr>
        <w:t>备品备件清单</w:t>
      </w:r>
    </w:p>
    <w:p>
      <w:pPr>
        <w:pStyle w:val="5"/>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widowControl/>
        <w:jc w:val="left"/>
        <w:rPr>
          <w:rFonts w:ascii="宋体" w:hAnsi="宋体" w:eastAsia="宋体" w:cs="宋体"/>
          <w:sz w:val="28"/>
          <w:szCs w:val="28"/>
        </w:rPr>
      </w:pPr>
      <w:r>
        <w:rPr>
          <w:rFonts w:ascii="宋体" w:hAnsi="宋体" w:eastAsia="宋体" w:cs="宋体"/>
          <w:sz w:val="28"/>
          <w:szCs w:val="28"/>
        </w:rPr>
        <w:br w:type="page"/>
      </w:r>
    </w:p>
    <w:p>
      <w:pPr>
        <w:pStyle w:val="5"/>
        <w:rPr>
          <w:rFonts w:ascii="宋体" w:hAnsi="宋体" w:eastAsia="宋体" w:cs="宋体"/>
          <w:sz w:val="28"/>
          <w:szCs w:val="28"/>
        </w:rPr>
      </w:pPr>
      <w:r>
        <w:rPr>
          <w:rFonts w:hint="eastAsia" w:ascii="宋体" w:hAnsi="宋体" w:eastAsia="宋体" w:cs="宋体"/>
          <w:sz w:val="28"/>
          <w:szCs w:val="28"/>
        </w:rPr>
        <w:t>专用工具清单（如有）</w:t>
      </w:r>
    </w:p>
    <w:p>
      <w:pPr>
        <w:pStyle w:val="5"/>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sectPr>
      <w:footerReference r:id="rId3"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14</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2"/>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0E4A"/>
    <w:rsid w:val="00043805"/>
    <w:rsid w:val="00056650"/>
    <w:rsid w:val="00065CDA"/>
    <w:rsid w:val="00075165"/>
    <w:rsid w:val="000A2B98"/>
    <w:rsid w:val="000C168A"/>
    <w:rsid w:val="000D014C"/>
    <w:rsid w:val="000E14E9"/>
    <w:rsid w:val="000E1A39"/>
    <w:rsid w:val="0010390C"/>
    <w:rsid w:val="00142D32"/>
    <w:rsid w:val="001571AF"/>
    <w:rsid w:val="00164875"/>
    <w:rsid w:val="00166493"/>
    <w:rsid w:val="00172A27"/>
    <w:rsid w:val="001C18CC"/>
    <w:rsid w:val="001C5613"/>
    <w:rsid w:val="001D3221"/>
    <w:rsid w:val="001D799F"/>
    <w:rsid w:val="00202C23"/>
    <w:rsid w:val="00205242"/>
    <w:rsid w:val="00205DBD"/>
    <w:rsid w:val="00210A1D"/>
    <w:rsid w:val="00240DA4"/>
    <w:rsid w:val="002519FD"/>
    <w:rsid w:val="00272678"/>
    <w:rsid w:val="00273CD8"/>
    <w:rsid w:val="00273E55"/>
    <w:rsid w:val="002B094E"/>
    <w:rsid w:val="002C2065"/>
    <w:rsid w:val="002F205F"/>
    <w:rsid w:val="00300F0C"/>
    <w:rsid w:val="003348DF"/>
    <w:rsid w:val="00346030"/>
    <w:rsid w:val="0035644A"/>
    <w:rsid w:val="003604F6"/>
    <w:rsid w:val="003626AF"/>
    <w:rsid w:val="003A6B16"/>
    <w:rsid w:val="003B6DCF"/>
    <w:rsid w:val="003C2CD1"/>
    <w:rsid w:val="00402DF9"/>
    <w:rsid w:val="00426A52"/>
    <w:rsid w:val="00427900"/>
    <w:rsid w:val="00444096"/>
    <w:rsid w:val="0046701F"/>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B706C"/>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21E2B"/>
    <w:rsid w:val="00A6283B"/>
    <w:rsid w:val="00A72F34"/>
    <w:rsid w:val="00A92D02"/>
    <w:rsid w:val="00AB18B6"/>
    <w:rsid w:val="00AB1EEA"/>
    <w:rsid w:val="00AB6453"/>
    <w:rsid w:val="00AC7918"/>
    <w:rsid w:val="00AE2C23"/>
    <w:rsid w:val="00AF1E53"/>
    <w:rsid w:val="00AF25A5"/>
    <w:rsid w:val="00AF4BEC"/>
    <w:rsid w:val="00AF539B"/>
    <w:rsid w:val="00B12A31"/>
    <w:rsid w:val="00B15858"/>
    <w:rsid w:val="00B303C2"/>
    <w:rsid w:val="00B50B49"/>
    <w:rsid w:val="00B93F76"/>
    <w:rsid w:val="00BA1CAE"/>
    <w:rsid w:val="00BB0DD9"/>
    <w:rsid w:val="00BE24EF"/>
    <w:rsid w:val="00BE6BC3"/>
    <w:rsid w:val="00C165B0"/>
    <w:rsid w:val="00C454A0"/>
    <w:rsid w:val="00C53E83"/>
    <w:rsid w:val="00C7141E"/>
    <w:rsid w:val="00C7194D"/>
    <w:rsid w:val="00C93B65"/>
    <w:rsid w:val="00CB1442"/>
    <w:rsid w:val="00CB4EAA"/>
    <w:rsid w:val="00CD6FE9"/>
    <w:rsid w:val="00CE2050"/>
    <w:rsid w:val="00CE443D"/>
    <w:rsid w:val="00D02E59"/>
    <w:rsid w:val="00D15733"/>
    <w:rsid w:val="00D1607D"/>
    <w:rsid w:val="00D249DD"/>
    <w:rsid w:val="00D60EAE"/>
    <w:rsid w:val="00D60F2E"/>
    <w:rsid w:val="00D934FC"/>
    <w:rsid w:val="00D94B3C"/>
    <w:rsid w:val="00DA1FD9"/>
    <w:rsid w:val="00DA4985"/>
    <w:rsid w:val="00DA7119"/>
    <w:rsid w:val="00DB4C2B"/>
    <w:rsid w:val="00DC5DF0"/>
    <w:rsid w:val="00DD18EB"/>
    <w:rsid w:val="00DE6371"/>
    <w:rsid w:val="00DF2B57"/>
    <w:rsid w:val="00DF7642"/>
    <w:rsid w:val="00E30A52"/>
    <w:rsid w:val="00E42AA9"/>
    <w:rsid w:val="00E53609"/>
    <w:rsid w:val="00E642DF"/>
    <w:rsid w:val="00E82434"/>
    <w:rsid w:val="00E90327"/>
    <w:rsid w:val="00E927FF"/>
    <w:rsid w:val="00EC62C6"/>
    <w:rsid w:val="00ED718A"/>
    <w:rsid w:val="00EF16FF"/>
    <w:rsid w:val="00EF7EF1"/>
    <w:rsid w:val="00F1488D"/>
    <w:rsid w:val="00F27C0A"/>
    <w:rsid w:val="00F463BE"/>
    <w:rsid w:val="00F562D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4F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3F7286"/>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C172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66C58"/>
    <w:rsid w:val="22290B71"/>
    <w:rsid w:val="223920C8"/>
    <w:rsid w:val="2257773E"/>
    <w:rsid w:val="227535F4"/>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921B99"/>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613C4"/>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4143DD"/>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C460C"/>
    <w:rsid w:val="37117618"/>
    <w:rsid w:val="371B6C62"/>
    <w:rsid w:val="372D17C3"/>
    <w:rsid w:val="373B0A3F"/>
    <w:rsid w:val="375508FE"/>
    <w:rsid w:val="37592A8C"/>
    <w:rsid w:val="375F0F03"/>
    <w:rsid w:val="37702AE4"/>
    <w:rsid w:val="377A75FB"/>
    <w:rsid w:val="379940D4"/>
    <w:rsid w:val="379B22F5"/>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A31CC"/>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4A78E1"/>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44E21"/>
    <w:rsid w:val="4E5959D6"/>
    <w:rsid w:val="4E7B3B9E"/>
    <w:rsid w:val="4E7B594C"/>
    <w:rsid w:val="4E7B64C2"/>
    <w:rsid w:val="4E7F037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A763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DD6475"/>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0E6DC5"/>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EE3012"/>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Balloon Text"/>
    <w:basedOn w:val="1"/>
    <w:link w:val="40"/>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6"/>
    <w:next w:val="5"/>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Char"/>
    <w:link w:val="2"/>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Char"/>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 w:type="character" w:customStyle="1" w:styleId="39">
    <w:name w:val="NormalCharacter"/>
    <w:semiHidden/>
    <w:qFormat/>
    <w:uiPriority w:val="0"/>
  </w:style>
  <w:style w:type="character" w:customStyle="1" w:styleId="40">
    <w:name w:val="批注框文本 Char"/>
    <w:basedOn w:val="16"/>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03D9"/>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2969</Words>
  <Characters>16924</Characters>
  <Lines>141</Lines>
  <Paragraphs>39</Paragraphs>
  <TotalTime>11</TotalTime>
  <ScaleCrop>false</ScaleCrop>
  <LinksUpToDate>false</LinksUpToDate>
  <CharactersWithSpaces>19854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2023-10-13T02:38:18Z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E228C9FAD4514C9FBD60B28EA79ABF59</vt:lpwstr>
  </property>
</Properties>
</file>