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JYYG2023004</w:t>
      </w:r>
      <w:r>
        <w:rPr>
          <w:rFonts w:hint="eastAsia" w:ascii="Times New Roman" w:hAnsi="Times New Roman" w:eastAsia="黑体" w:cs="Times New Roman"/>
          <w:sz w:val="44"/>
          <w:szCs w:val="32"/>
        </w:rPr>
        <w:t>清扫车采购</w:t>
      </w:r>
      <w:r>
        <w:rPr>
          <w:rFonts w:hint="eastAsia" w:ascii="Times New Roman" w:hAnsi="Times New Roman" w:eastAsia="黑体" w:cs="Times New Roman"/>
          <w:sz w:val="44"/>
          <w:szCs w:val="32"/>
          <w:lang w:val="en-US" w:eastAsia="zh-CN"/>
        </w:rPr>
        <w:t>项目(二次)</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22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525632585"/>
      <w:bookmarkStart w:id="4" w:name="_Toc24354_WPSOffice_Level2"/>
      <w:bookmarkStart w:id="5" w:name="_Toc10395_WPSOffice_Level2"/>
      <w:bookmarkStart w:id="6" w:name="_Toc12765"/>
      <w:bookmarkStart w:id="7" w:name="_Toc4489_WPSOffice_Level2"/>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JYYG2023004</w:t>
      </w:r>
      <w:r>
        <w:rPr>
          <w:rFonts w:hint="eastAsia" w:ascii="宋体" w:hAnsi="宋体" w:eastAsia="宋体" w:cs="宋体"/>
          <w:szCs w:val="21"/>
          <w:u w:val="single"/>
        </w:rPr>
        <w:t>清扫车采购</w:t>
      </w:r>
      <w:r>
        <w:rPr>
          <w:rFonts w:hint="eastAsia" w:ascii="宋体" w:hAnsi="宋体" w:eastAsia="宋体" w:cs="宋体"/>
          <w:szCs w:val="21"/>
          <w:u w:val="single"/>
          <w:lang w:val="en-US" w:eastAsia="zh-CN"/>
        </w:rPr>
        <w:t>项目（二次）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路面清扫,</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采购清扫车1台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8128_WPSOffice_Level2"/>
      <w:bookmarkStart w:id="11" w:name="_Toc10274"/>
      <w:bookmarkStart w:id="12" w:name="_Toc18453"/>
      <w:bookmarkStart w:id="13" w:name="_Toc18367_WPSOffice_Level2"/>
      <w:bookmarkStart w:id="14" w:name="_Toc23266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采购清扫车1台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62</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10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525632587"/>
      <w:bookmarkStart w:id="20" w:name="_Toc22379_WPSOffice_Level2"/>
      <w:bookmarkStart w:id="21" w:name="_Toc6388"/>
      <w:bookmarkStart w:id="22" w:name="_Toc3714"/>
      <w:bookmarkStart w:id="23" w:name="_Toc1622_WPSOffice_Level2"/>
      <w:bookmarkStart w:id="24" w:name="_Toc29516_WPSOffice_Level2"/>
      <w:bookmarkStart w:id="25" w:name="_Toc31673_WPSOffice_Level2"/>
      <w:r>
        <w:rPr>
          <w:rFonts w:hint="eastAsia" w:ascii="Times New Roman" w:hAnsi="Times New Roman" w:cs="Times New Roman"/>
          <w:szCs w:val="22"/>
          <w:lang w:val="en-US" w:eastAsia="zh-CN"/>
        </w:rPr>
        <w:t>2.7 需留差价，不可顶格报价</w:t>
      </w:r>
    </w:p>
    <w:p>
      <w:pPr>
        <w:pStyle w:val="34"/>
        <w:spacing w:before="143"/>
        <w:ind w:right="1430"/>
        <w:jc w:val="left"/>
        <w:rPr>
          <w:sz w:val="24"/>
          <w:lang w:val="en-US"/>
        </w:rPr>
      </w:pPr>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29452_WPSOffice_Level2"/>
      <w:bookmarkStart w:id="28" w:name="_Toc2996_WPSOffice_Level2"/>
      <w:bookmarkStart w:id="29" w:name="_Toc25666_WPSOffice_Level2"/>
      <w:bookmarkStart w:id="30" w:name="_Toc1994"/>
      <w:bookmarkStart w:id="31" w:name="_Toc4109_WPSOffice_Level2"/>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26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14</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30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25 </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6829"/>
      <w:bookmarkStart w:id="39" w:name="_Toc14943_WPSOffice_Level2"/>
      <w:bookmarkStart w:id="40" w:name="_Toc321_WPSOffice_Level2"/>
      <w:bookmarkStart w:id="41" w:name="_Toc28571_WPSOffice_Level2"/>
      <w:bookmarkStart w:id="42" w:name="_Toc20572_WPSOffice_Level2"/>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
      </w:pPr>
    </w:p>
    <w:p>
      <w:pPr>
        <w:pStyle w:val="2"/>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22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10</w:t>
            </w:r>
            <w:r>
              <w:rPr>
                <w:rFonts w:hint="eastAsia"/>
              </w:rPr>
              <w:t>分；在此基础上：</w:t>
            </w:r>
          </w:p>
          <w:p>
            <w:pPr>
              <w:pStyle w:val="2"/>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tbl>
      <w:tblPr>
        <w:tblStyle w:val="13"/>
        <w:tblpPr w:leftFromText="180" w:rightFromText="180" w:vertAnchor="text" w:horzAnchor="page" w:tblpX="1920" w:tblpY="428"/>
        <w:tblOverlap w:val="never"/>
        <w:tblW w:w="8573" w:type="dxa"/>
        <w:tblInd w:w="0" w:type="dxa"/>
        <w:tblLayout w:type="fixed"/>
        <w:tblCellMar>
          <w:top w:w="0" w:type="dxa"/>
          <w:left w:w="108" w:type="dxa"/>
          <w:bottom w:w="0" w:type="dxa"/>
          <w:right w:w="108" w:type="dxa"/>
        </w:tblCellMar>
      </w:tblPr>
      <w:tblGrid>
        <w:gridCol w:w="885"/>
        <w:gridCol w:w="7688"/>
      </w:tblGrid>
      <w:tr>
        <w:tblPrEx>
          <w:tblCellMar>
            <w:top w:w="0" w:type="dxa"/>
            <w:left w:w="108" w:type="dxa"/>
            <w:bottom w:w="0" w:type="dxa"/>
            <w:right w:w="108" w:type="dxa"/>
          </w:tblCellMar>
        </w:tblPrEx>
        <w:trPr>
          <w:trHeight w:val="592"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项目</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供货范围及技术要求</w:t>
            </w:r>
          </w:p>
        </w:tc>
      </w:tr>
      <w:tr>
        <w:tblPrEx>
          <w:tblCellMar>
            <w:top w:w="0" w:type="dxa"/>
            <w:left w:w="108" w:type="dxa"/>
            <w:bottom w:w="0" w:type="dxa"/>
            <w:right w:w="108" w:type="dxa"/>
          </w:tblCellMar>
        </w:tblPrEx>
        <w:trPr>
          <w:trHeight w:val="57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整体           性能</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★1.用途：道路施工路面无尘清扫专用设备，用于水稳工作面、沥青工作面、铣刨工作面的清扫，有效清理并吸除路面碎石颗粒、泥土、粉尘等污物；也可用于码头、料场、拌和站等场合的厂区及道路的清扫作业</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★2.成套设备应由专用汽车底盘、地面附着物清扫系统、吸尘风机、过滤除尘系统、电液控制系统等组成</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★3.清扫形式：扫刷+吸盘干式清扫</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★4.清扫宽度：≥2300MM(不含边刷)，≥2600MM（含边刷）</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★5.清扫速度：3-15KM/H</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★6.最大抽吸颗粒粒径≥50mm</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★7.清扫效率：≥95%</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66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★8.环保要求：清扫工作面无扬尘，路面吸除物封闭收集于设备中的收集箱中，吸尘风机排放颗粒物直径≤100цm。作业全过程无粉尘外泄</w:t>
            </w:r>
          </w:p>
        </w:tc>
      </w:tr>
      <w:tr>
        <w:tblPrEx>
          <w:tblCellMar>
            <w:top w:w="0" w:type="dxa"/>
            <w:left w:w="108" w:type="dxa"/>
            <w:bottom w:w="0" w:type="dxa"/>
            <w:right w:w="108" w:type="dxa"/>
          </w:tblCellMar>
        </w:tblPrEx>
        <w:trPr>
          <w:trHeight w:val="60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底盘</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★1.采用国内外知名品牌的工程车辆专用底盘，4*2驱动，发动机排放达到国六及以上排放要求。能够适合在建道路、施工便道等较为复杂路况的路面行驶</w:t>
            </w:r>
          </w:p>
        </w:tc>
      </w:tr>
      <w:tr>
        <w:tblPrEx>
          <w:tblCellMar>
            <w:top w:w="0" w:type="dxa"/>
            <w:left w:w="108" w:type="dxa"/>
            <w:bottom w:w="0" w:type="dxa"/>
            <w:right w:w="108" w:type="dxa"/>
          </w:tblCellMar>
        </w:tblPrEx>
        <w:trPr>
          <w:trHeight w:val="46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★2.车辆最大允许总质量≥14T</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3.发动机功率≥120KW</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4.作业行驶速度：≤3KM/H-20KM/H</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5.道路行驶最大速度：≥80KM/H</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辅助        发动机</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1.采用国内外知名品牌，排放达到国四及以上排放要求。</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★2.发动机功率≥100KW</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吸尘           风机</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1.风机形式：离心式高压风机</w:t>
            </w:r>
          </w:p>
        </w:tc>
      </w:tr>
      <w:tr>
        <w:tblPrEx>
          <w:tblCellMar>
            <w:top w:w="0" w:type="dxa"/>
            <w:left w:w="108" w:type="dxa"/>
            <w:bottom w:w="0" w:type="dxa"/>
            <w:right w:w="108" w:type="dxa"/>
          </w:tblCellMar>
        </w:tblPrEx>
        <w:trPr>
          <w:trHeight w:val="480" w:hRule="atLeast"/>
        </w:trPr>
        <w:tc>
          <w:tcPr>
            <w:tcW w:w="88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2.驱动:辅助发动机驱动</w:t>
            </w:r>
          </w:p>
        </w:tc>
      </w:tr>
      <w:tr>
        <w:tblPrEx>
          <w:tblCellMar>
            <w:top w:w="0" w:type="dxa"/>
            <w:left w:w="108" w:type="dxa"/>
            <w:bottom w:w="0" w:type="dxa"/>
            <w:right w:w="108" w:type="dxa"/>
          </w:tblCellMar>
        </w:tblPrEx>
        <w:trPr>
          <w:trHeight w:val="480" w:hRule="atLeast"/>
        </w:trPr>
        <w:tc>
          <w:tcPr>
            <w:tcW w:w="88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3.风机参数：风量≥12000M</w:t>
            </w:r>
            <w:r>
              <w:rPr>
                <w:rFonts w:hint="eastAsia" w:ascii="宋体" w:hAnsi="宋体" w:eastAsia="宋体" w:cs="宋体"/>
                <w:i w:val="0"/>
                <w:iCs w:val="0"/>
                <w:color w:val="auto"/>
                <w:kern w:val="0"/>
                <w:sz w:val="21"/>
                <w:szCs w:val="21"/>
                <w:u w:val="none"/>
                <w:vertAlign w:val="superscript"/>
                <w:lang w:val="en-US" w:eastAsia="zh-CN"/>
              </w:rPr>
              <w:t>3</w:t>
            </w:r>
            <w:r>
              <w:rPr>
                <w:rFonts w:hint="eastAsia" w:ascii="宋体" w:hAnsi="宋体" w:eastAsia="宋体" w:cs="宋体"/>
                <w:i w:val="0"/>
                <w:iCs w:val="0"/>
                <w:color w:val="auto"/>
                <w:kern w:val="0"/>
                <w:sz w:val="21"/>
                <w:szCs w:val="21"/>
                <w:u w:val="none"/>
                <w:lang w:val="en-US" w:eastAsia="zh-CN"/>
              </w:rPr>
              <w:t>/H</w:t>
            </w:r>
          </w:p>
        </w:tc>
      </w:tr>
      <w:tr>
        <w:tblPrEx>
          <w:tblCellMar>
            <w:top w:w="0" w:type="dxa"/>
            <w:left w:w="108" w:type="dxa"/>
            <w:bottom w:w="0" w:type="dxa"/>
            <w:right w:w="108" w:type="dxa"/>
          </w:tblCellMar>
        </w:tblPrEx>
        <w:trPr>
          <w:trHeight w:val="480" w:hRule="atLeast"/>
        </w:trPr>
        <w:tc>
          <w:tcPr>
            <w:tcW w:w="88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★4.垃圾进口直径≥360MM</w:t>
            </w:r>
            <w:r>
              <w:rPr>
                <w:rStyle w:val="38"/>
                <w:rFonts w:hint="eastAsia" w:ascii="宋体" w:hAnsi="宋体" w:eastAsia="宋体" w:cs="宋体"/>
                <w:color w:val="auto"/>
                <w:sz w:val="21"/>
                <w:szCs w:val="21"/>
                <w:lang w:val="en-US" w:eastAsia="zh-CN"/>
              </w:rPr>
              <w:t>（须将公告参数附于投标文件中）</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执行   机构</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1.吸盘结构合理，能够有效保持负压建立、保证吸尘效率；易磨损位置应配置耐磨材料</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2.边刷直径≥300MM；滚刷直径≥250MM；滚刷长度≥2300MM</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3.边刷及滚刷材质采用耐磨钢刷或不低于该材质</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★4.边刷及滚刷旋转采用液压驱动并能够单独控制</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★5.吸盘及边刷采用液压升降、举伸并能够单独控制</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集尘箱</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★1.箱体有效集尘容积≥7M</w:t>
            </w:r>
            <w:r>
              <w:rPr>
                <w:rFonts w:hint="eastAsia" w:ascii="宋体" w:hAnsi="宋体" w:eastAsia="宋体" w:cs="宋体"/>
                <w:i w:val="0"/>
                <w:iCs w:val="0"/>
                <w:color w:val="auto"/>
                <w:kern w:val="0"/>
                <w:sz w:val="21"/>
                <w:szCs w:val="21"/>
                <w:u w:val="none"/>
                <w:vertAlign w:val="superscript"/>
                <w:lang w:val="en-US" w:eastAsia="zh-CN"/>
              </w:rPr>
              <w:t>3</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2.箱体结构设计合理、坚固耐用，抗变形</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★3.箱体采用液压举升，举升角度≥45</w:t>
            </w:r>
            <w:r>
              <w:rPr>
                <w:rFonts w:hint="eastAsia" w:ascii="宋体" w:hAnsi="宋体" w:eastAsia="宋体" w:cs="宋体"/>
                <w:i w:val="0"/>
                <w:iCs w:val="0"/>
                <w:color w:val="auto"/>
                <w:kern w:val="0"/>
                <w:sz w:val="21"/>
                <w:szCs w:val="21"/>
                <w:u w:val="none"/>
                <w:vertAlign w:val="superscript"/>
                <w:lang w:val="en-US" w:eastAsia="zh-CN"/>
              </w:rPr>
              <w:t>。</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★4.具备大放料门快速放料及小放料门无尘放料、配置液压驱动的放料螺旋</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过滤  除尘   系统 </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1.采用耐水、耐油工业布袋</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r>
              <w:rPr>
                <w:rFonts w:hint="eastAsia" w:ascii="宋体" w:hAnsi="宋体" w:eastAsia="宋体" w:cs="宋体"/>
                <w:color w:val="auto"/>
                <w:kern w:val="0"/>
                <w:sz w:val="21"/>
                <w:szCs w:val="21"/>
              </w:rPr>
              <w:t>反吹风</w:t>
            </w:r>
            <w:r>
              <w:rPr>
                <w:rFonts w:hint="eastAsia" w:ascii="宋体" w:hAnsi="宋体" w:eastAsia="宋体" w:cs="宋体"/>
                <w:color w:val="auto"/>
                <w:kern w:val="0"/>
                <w:sz w:val="21"/>
                <w:szCs w:val="21"/>
                <w:lang w:val="en-US" w:eastAsia="zh-CN"/>
              </w:rPr>
              <w:t>给</w:t>
            </w:r>
            <w:r>
              <w:rPr>
                <w:rFonts w:hint="eastAsia" w:ascii="宋体" w:hAnsi="宋体" w:eastAsia="宋体" w:cs="宋体"/>
                <w:color w:val="auto"/>
                <w:kern w:val="0"/>
                <w:sz w:val="21"/>
                <w:szCs w:val="21"/>
              </w:rPr>
              <w:t>布袋除尘，采用压缩空气的、需对气源进行干燥处理</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3.布袋过滤面积≥90M</w:t>
            </w:r>
            <w:r>
              <w:rPr>
                <w:rFonts w:hint="eastAsia" w:ascii="宋体" w:hAnsi="宋体" w:eastAsia="宋体" w:cs="宋体"/>
                <w:i w:val="0"/>
                <w:iCs w:val="0"/>
                <w:color w:val="auto"/>
                <w:kern w:val="0"/>
                <w:sz w:val="21"/>
                <w:szCs w:val="21"/>
                <w:u w:val="none"/>
                <w:vertAlign w:val="superscript"/>
                <w:lang w:val="en-US" w:eastAsia="zh-CN"/>
              </w:rPr>
              <w:t>2</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★4.过滤布袋数量≥380只</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5.布袋材质：涤纶四氟乙烯</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   系统</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1.所有执行机构动作（边刷、滚刷、吸盘动作及集尘箱顶升等）均采用液压驱动</w:t>
            </w:r>
          </w:p>
        </w:tc>
      </w:tr>
      <w:tr>
        <w:tblPrEx>
          <w:tblCellMar>
            <w:top w:w="0" w:type="dxa"/>
            <w:left w:w="108" w:type="dxa"/>
            <w:bottom w:w="0" w:type="dxa"/>
            <w:right w:w="108" w:type="dxa"/>
          </w:tblCellMar>
        </w:tblPrEx>
        <w:trPr>
          <w:trHeight w:val="60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2.液压元件（泵、马达、液压阀）采用国内知名品牌</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控制   系统</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1.电气元件采用国内知名品牌</w:t>
            </w:r>
          </w:p>
        </w:tc>
      </w:tr>
      <w:tr>
        <w:tblPrEx>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2.辅助发动机、执行机构、集尘箱举升清灰等作业控制集成于驾驶室内，实现1人操作</w:t>
            </w:r>
          </w:p>
        </w:tc>
      </w:tr>
      <w:tr>
        <w:tblPrEx>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整车   要求</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★1.整车为2023年生产、全新未使用设备</w:t>
            </w:r>
          </w:p>
        </w:tc>
      </w:tr>
      <w:tr>
        <w:tblPrEx>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2.整车具有国家发改委上牌公告，国税局免税公告，国家环保公告，3C认证</w:t>
            </w:r>
          </w:p>
        </w:tc>
      </w:tr>
      <w:tr>
        <w:tblPrEx>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3.设备供应时间：中标通知书公示后10日内</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 xml:space="preserve">  设备供应地点：安徽省合肥市投标方指定地点</w:t>
            </w:r>
          </w:p>
        </w:tc>
      </w:tr>
      <w:tr>
        <w:tblPrEx>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4.设备质量保证期在设备验收合格后不少于12个月</w:t>
            </w:r>
          </w:p>
        </w:tc>
      </w:tr>
      <w:tr>
        <w:tblPrEx>
          <w:tblCellMar>
            <w:top w:w="0" w:type="dxa"/>
            <w:left w:w="108" w:type="dxa"/>
            <w:bottom w:w="0" w:type="dxa"/>
            <w:right w:w="108" w:type="dxa"/>
          </w:tblCellMar>
        </w:tblPrEx>
        <w:trPr>
          <w:trHeight w:val="1084"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其他    要求</w:t>
            </w:r>
          </w:p>
        </w:tc>
        <w:tc>
          <w:tcPr>
            <w:tcW w:w="7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rPr>
              <w:t>★1.配置作业监控系统；车尾配置工作指向灯及警示灯；驾驶室配置暖风及空调</w:t>
            </w:r>
          </w:p>
        </w:tc>
      </w:tr>
      <w:tr>
        <w:tblPrEx>
          <w:tblCellMar>
            <w:top w:w="0" w:type="dxa"/>
            <w:left w:w="108" w:type="dxa"/>
            <w:bottom w:w="0" w:type="dxa"/>
            <w:right w:w="108" w:type="dxa"/>
          </w:tblCellMar>
        </w:tblPrEx>
        <w:trPr>
          <w:trHeight w:val="67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★2.中标后提供技术资料包含：设备产品合格证、电气图、操作保养手册以及设备的结构特点、工作原理、性能参数的详细图文说明</w:t>
            </w:r>
          </w:p>
        </w:tc>
      </w:tr>
      <w:tr>
        <w:tblPrEx>
          <w:tblCellMar>
            <w:top w:w="0" w:type="dxa"/>
            <w:left w:w="108" w:type="dxa"/>
            <w:bottom w:w="0" w:type="dxa"/>
            <w:right w:w="108" w:type="dxa"/>
          </w:tblCellMar>
        </w:tblPrEx>
        <w:trPr>
          <w:trHeight w:val="67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质保期2年</w:t>
            </w:r>
          </w:p>
        </w:tc>
      </w:tr>
    </w:tbl>
    <w:p>
      <w:pPr>
        <w:spacing w:after="0" w:line="440" w:lineRule="exact"/>
        <w:ind w:firstLine="480" w:firstLineChars="200"/>
        <w:rPr>
          <w:sz w:val="18"/>
          <w:szCs w:val="18"/>
        </w:rPr>
      </w:pP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8261"/>
      <w:bookmarkStart w:id="82" w:name="_Toc2529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123"/>
      <w:bookmarkStart w:id="84" w:name="_Toc29210"/>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0" w:firstLineChars="200"/>
        <w:rPr>
          <w:rFonts w:hint="eastAsia" w:ascii="宋体" w:hAnsi="宋体" w:eastAsia="宋体" w:cs="宋体"/>
          <w:bCs/>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bookmarkStart w:id="169" w:name="_GoBack"/>
      <w:bookmarkEnd w:id="169"/>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30529_WPSOffice_Level1"/>
      <w:bookmarkStart w:id="97" w:name="_Toc23368_WPSOffice_Level1"/>
      <w:bookmarkStart w:id="98" w:name="_Toc6353_WPSOffice_Level1"/>
      <w:bookmarkStart w:id="99" w:name="_Toc11424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32729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5965_WPSOffice_Level1"/>
      <w:bookmarkStart w:id="106" w:name="_Toc4728_WPSOffice_Level1"/>
      <w:bookmarkStart w:id="107" w:name="_Toc23356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18964_WPSOffice_Level1"/>
      <w:bookmarkStart w:id="111" w:name="_Toc10608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9601_WPSOffice_Level1"/>
      <w:bookmarkStart w:id="114" w:name="_Toc1578_WPSOffice_Level1"/>
      <w:bookmarkStart w:id="115" w:name="_Toc2375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0273_WPSOffice_Level1"/>
      <w:bookmarkStart w:id="124" w:name="_Toc32648_WPSOffice_Level1"/>
      <w:bookmarkStart w:id="125" w:name="_Toc27403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2152_WPSOffice_Level1"/>
      <w:bookmarkStart w:id="129" w:name="_Toc4051_WPSOffice_Level1"/>
      <w:bookmarkStart w:id="130" w:name="_Toc30234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2765_WPSOffice_Level1"/>
      <w:bookmarkStart w:id="135" w:name="_Toc29399_WPSOffice_Level1"/>
      <w:bookmarkStart w:id="136" w:name="_Toc18312_WPSOffice_Level1"/>
      <w:bookmarkStart w:id="137" w:name="_Toc1687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32350_WPSOffice_Level1"/>
      <w:bookmarkStart w:id="140" w:name="_Toc18668_WPSOffice_Level1"/>
      <w:bookmarkStart w:id="141" w:name="_Toc1253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30_WPSOffice_Level1"/>
      <w:bookmarkStart w:id="148" w:name="_Toc24567_WPSOffice_Level1"/>
      <w:bookmarkStart w:id="149" w:name="_Toc32085_WPSOffice_Level1"/>
      <w:bookmarkStart w:id="150" w:name="_Toc15186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10436_WPSOffice_Level1"/>
      <w:bookmarkStart w:id="154" w:name="_Toc31445_WPSOffice_Level1"/>
      <w:bookmarkStart w:id="155" w:name="_Toc23545_WPSOffice_Level1"/>
      <w:bookmarkStart w:id="156" w:name="_Toc7738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5072_WPSOffice_Level1"/>
      <w:bookmarkStart w:id="161" w:name="_Toc3772_WPSOffice_Level1"/>
      <w:bookmarkStart w:id="162" w:name="_Toc1452_WPSOffice_Level1"/>
      <w:bookmarkStart w:id="163"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9267_WPSOffice_Level1"/>
      <w:bookmarkStart w:id="165" w:name="_Toc30712_WPSOffice_Level1"/>
      <w:bookmarkStart w:id="166" w:name="_Toc3893_WPSOffice_Level1"/>
      <w:bookmarkStart w:id="167" w:name="_Toc12019_WPSOffice_Level1"/>
      <w:bookmarkStart w:id="168"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15750</Words>
  <Characters>16853</Characters>
  <Lines>166</Lines>
  <Paragraphs>46</Paragraphs>
  <TotalTime>13</TotalTime>
  <ScaleCrop>false</ScaleCrop>
  <LinksUpToDate>false</LinksUpToDate>
  <CharactersWithSpaces>17407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2023-05-22T09:55:12Z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