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JYYG2023004</w:t>
      </w:r>
      <w:r>
        <w:rPr>
          <w:rFonts w:hint="eastAsia" w:ascii="Times New Roman" w:hAnsi="Times New Roman" w:eastAsia="黑体" w:cs="Times New Roman"/>
          <w:sz w:val="44"/>
          <w:szCs w:val="32"/>
        </w:rPr>
        <w:t>清扫车采购</w:t>
      </w:r>
      <w:r>
        <w:rPr>
          <w:rFonts w:hint="eastAsia" w:ascii="Times New Roman" w:hAnsi="Times New Roman" w:eastAsia="黑体" w:cs="Times New Roman"/>
          <w:sz w:val="44"/>
          <w:szCs w:val="32"/>
          <w:lang w:val="en-US" w:eastAsia="zh-CN"/>
        </w:rPr>
        <w:t>项目</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12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4489_WPSOffice_Level2"/>
      <w:bookmarkStart w:id="4" w:name="_Toc13871"/>
      <w:bookmarkStart w:id="5" w:name="_Toc6496_WPSOffice_Level2"/>
      <w:bookmarkStart w:id="6" w:name="_Toc10395_WPSOffice_Level2"/>
      <w:bookmarkStart w:id="7" w:name="_Toc24354_WPSOffice_Level2"/>
      <w:bookmarkStart w:id="8" w:name="_Toc525632585"/>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JYYG2023004</w:t>
      </w:r>
      <w:r>
        <w:rPr>
          <w:rFonts w:hint="eastAsia" w:ascii="宋体" w:hAnsi="宋体" w:eastAsia="宋体" w:cs="宋体"/>
          <w:szCs w:val="21"/>
          <w:u w:val="single"/>
        </w:rPr>
        <w:t>清扫车采购</w:t>
      </w:r>
      <w:r>
        <w:rPr>
          <w:rFonts w:hint="eastAsia" w:ascii="宋体" w:hAnsi="宋体" w:eastAsia="宋体" w:cs="宋体"/>
          <w:szCs w:val="21"/>
          <w:u w:val="single"/>
          <w:lang w:val="en-US" w:eastAsia="zh-CN"/>
        </w:rPr>
        <w:t>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路面清扫,</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采购清扫车1台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23266_WPSOffice_Level2"/>
      <w:bookmarkStart w:id="10" w:name="_Toc17858_WPSOffice_Level2"/>
      <w:bookmarkStart w:id="11" w:name="_Toc8128_WPSOffice_Level2"/>
      <w:bookmarkStart w:id="12" w:name="_Toc525632586"/>
      <w:bookmarkStart w:id="13" w:name="_Toc10274"/>
      <w:bookmarkStart w:id="14" w:name="_Toc18453"/>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采购清扫车1台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62</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10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snapToGrid w:val="0"/>
        <w:spacing w:line="500" w:lineRule="atLeast"/>
        <w:ind w:firstLine="420" w:firstLineChars="200"/>
        <w:rPr>
          <w:rFonts w:hint="eastAsia"/>
          <w:sz w:val="24"/>
          <w:lang w:val="en-US"/>
        </w:rPr>
      </w:pPr>
      <w:bookmarkStart w:id="19" w:name="_Toc29516_WPSOffice_Level2"/>
      <w:bookmarkStart w:id="20" w:name="_Toc22379_WPSOffice_Level2"/>
      <w:bookmarkStart w:id="21" w:name="_Toc3714"/>
      <w:bookmarkStart w:id="22" w:name="_Toc6388"/>
      <w:bookmarkStart w:id="23" w:name="_Toc1622_WPSOffice_Level2"/>
      <w:bookmarkStart w:id="24" w:name="_Toc525632587"/>
      <w:bookmarkStart w:id="25" w:name="_Toc31673_WPSOffice_Level2"/>
      <w:r>
        <w:rPr>
          <w:rFonts w:hint="eastAsia" w:ascii="Times New Roman" w:hAnsi="Times New Roman" w:cs="Times New Roman"/>
          <w:szCs w:val="22"/>
          <w:lang w:val="en-US" w:eastAsia="zh-CN"/>
        </w:rPr>
        <w:t>2.7 需留差价，不可顶格报价</w:t>
      </w:r>
      <w:bookmarkStart w:id="169" w:name="_GoBack"/>
      <w:bookmarkEnd w:id="169"/>
    </w:p>
    <w:p>
      <w:pPr>
        <w:pStyle w:val="34"/>
        <w:spacing w:before="143"/>
        <w:ind w:right="1430"/>
        <w:jc w:val="left"/>
        <w:rPr>
          <w:sz w:val="24"/>
          <w:lang w:val="en-US"/>
        </w:rPr>
      </w:pPr>
      <w:r>
        <w:rPr>
          <w:rFonts w:hint="eastAsia"/>
          <w:sz w:val="24"/>
          <w:lang w:val="en-US"/>
        </w:rPr>
        <w:t>备注：</w:t>
      </w:r>
    </w:p>
    <w:p>
      <w:pPr>
        <w:spacing w:line="460" w:lineRule="exact"/>
        <w:jc w:val="left"/>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w:t>
      </w:r>
      <w:r>
        <w:rPr>
          <w:rFonts w:hint="eastAsia"/>
          <w:sz w:val="24"/>
          <w:highlight w:val="green"/>
          <w:lang w:val="en-US" w:eastAsia="zh-CN"/>
        </w:rPr>
        <w:t>清扫车</w:t>
      </w:r>
      <w:r>
        <w:rPr>
          <w:rFonts w:hint="eastAsia"/>
          <w:sz w:val="24"/>
          <w:highlight w:val="green"/>
        </w:rPr>
        <w:t>上牌时,须按需方指定地点和方式执行,选择的牌号须经需方认可。需方配合提供公司相关证明及在相关表格加盖公章等）。商业保险及上牌费（含交强险、车损险（≥车价）、第三者责任险(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台同类车型</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4109_WPSOffice_Level2"/>
      <w:bookmarkStart w:id="28" w:name="_Toc525632588"/>
      <w:bookmarkStart w:id="29" w:name="_Toc4751"/>
      <w:bookmarkStart w:id="30" w:name="_Toc1994"/>
      <w:bookmarkStart w:id="31" w:name="_Toc29452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19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11</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 xml:space="preserve">18 </w:t>
      </w:r>
      <w:r>
        <w:rPr>
          <w:rFonts w:ascii="Times New Roman" w:hAnsi="Times New Roman"/>
        </w:rPr>
        <w:t xml:space="preserve">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 xml:space="preserve"> ：00时前到账，否则无效。如果成为采购人将自动转为履约保证金，交车后三个工作日退回，其他在询比结果公示后三个工作日退回。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14943_WPSOffice_Level2"/>
      <w:bookmarkStart w:id="39" w:name="_Toc28571_WPSOffice_Level2"/>
      <w:bookmarkStart w:id="40" w:name="_Toc525632592"/>
      <w:bookmarkStart w:id="41" w:name="_Toc8501"/>
      <w:bookmarkStart w:id="42" w:name="_Toc20572_WPSOffice_Level2"/>
      <w:bookmarkStart w:id="43" w:name="_Toc26829"/>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3</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5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10</w:t>
            </w:r>
            <w:r>
              <w:rPr>
                <w:rFonts w:hint="eastAsia"/>
              </w:rPr>
              <w:t>分；在此基础上：</w:t>
            </w:r>
          </w:p>
          <w:p>
            <w:pPr>
              <w:pStyle w:val="2"/>
            </w:pPr>
            <w:r>
              <w:rPr>
                <w:rFonts w:hint="eastAsia"/>
              </w:rPr>
              <w:t>主要技术参数优于询价文件要求的，每有一项加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pPr>
            <w:r>
              <w:rPr>
                <w:rFonts w:hint="eastAsia"/>
              </w:rPr>
              <w:t>评审依据：投标人提供合同原件（备查），并同时在投标文件中提供复印件，不提供不得分。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rPr>
          <w:rFonts w:ascii="Times New Roman" w:hAnsi="Times New Roman" w:eastAsia="宋体" w:cs="Times New Roman"/>
        </w:rPr>
      </w:pPr>
    </w:p>
    <w:tbl>
      <w:tblPr>
        <w:tblStyle w:val="13"/>
        <w:tblpPr w:leftFromText="180" w:rightFromText="180" w:vertAnchor="text" w:horzAnchor="page" w:tblpX="1920" w:tblpY="428"/>
        <w:tblOverlap w:val="never"/>
        <w:tblW w:w="8573" w:type="dxa"/>
        <w:tblInd w:w="0" w:type="dxa"/>
        <w:tblLayout w:type="fixed"/>
        <w:tblCellMar>
          <w:top w:w="0" w:type="dxa"/>
          <w:left w:w="108" w:type="dxa"/>
          <w:bottom w:w="0" w:type="dxa"/>
          <w:right w:w="108" w:type="dxa"/>
        </w:tblCellMar>
      </w:tblPr>
      <w:tblGrid>
        <w:gridCol w:w="885"/>
        <w:gridCol w:w="7688"/>
      </w:tblGrid>
      <w:tr>
        <w:tblPrEx>
          <w:tblLayout w:type="fixed"/>
          <w:tblCellMar>
            <w:top w:w="0" w:type="dxa"/>
            <w:left w:w="108" w:type="dxa"/>
            <w:bottom w:w="0" w:type="dxa"/>
            <w:right w:w="108" w:type="dxa"/>
          </w:tblCellMar>
        </w:tblPrEx>
        <w:trPr>
          <w:trHeight w:val="592"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rPr>
              <w:t>项目</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供货范围及技术要求</w:t>
            </w:r>
          </w:p>
        </w:tc>
      </w:tr>
      <w:tr>
        <w:tblPrEx>
          <w:tblLayout w:type="fixed"/>
          <w:tblCellMar>
            <w:top w:w="0" w:type="dxa"/>
            <w:left w:w="108" w:type="dxa"/>
            <w:bottom w:w="0" w:type="dxa"/>
            <w:right w:w="108" w:type="dxa"/>
          </w:tblCellMar>
        </w:tblPrEx>
        <w:trPr>
          <w:trHeight w:val="57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整体           性能</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★1.用途：道路施工路面无尘清扫专用设备，用于水稳工作面、沥青工作面、铣刨工作面的清扫，有效清理并吸除路面碎石颗粒、泥土、粉尘等污物；也可用于码头、料场、拌和站等场合的厂区及道路的清扫作业</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★2.成套设备应由专用汽车底盘、地面附着物清扫系统、吸尘风机、过滤除尘系统、电液控制系统等组成</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★3.清扫形式：扫刷+吸盘干式清扫</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★4.清扫宽度：≥2300MM(不含边刷)，≥2600MM（含边刷）</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★5.清扫速度：3-15KM/H</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★6.最大抽吸颗粒粒径≥50mm</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★7.清扫效率：≥95%</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66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★8.环保要求：清扫工作面无扬尘，路面吸除物封闭收集于设备中的收集箱中，吸尘风机排放颗粒物直径≤100цm。作业全过程无粉尘外泄</w:t>
            </w:r>
          </w:p>
        </w:tc>
      </w:tr>
      <w:tr>
        <w:tblPrEx>
          <w:tblLayout w:type="fixed"/>
          <w:tblCellMar>
            <w:top w:w="0" w:type="dxa"/>
            <w:left w:w="108" w:type="dxa"/>
            <w:bottom w:w="0" w:type="dxa"/>
            <w:right w:w="108" w:type="dxa"/>
          </w:tblCellMar>
        </w:tblPrEx>
        <w:trPr>
          <w:trHeight w:val="60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底盘</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★1.采用国内外知名品牌的工程车辆专用底盘，4*2驱动，发动机排放达到国六及以上排放要求。能够适合在建道路、施工便道等较为复杂路况的路面行驶</w:t>
            </w:r>
          </w:p>
        </w:tc>
      </w:tr>
      <w:tr>
        <w:tblPrEx>
          <w:tblLayout w:type="fixed"/>
          <w:tblCellMar>
            <w:top w:w="0" w:type="dxa"/>
            <w:left w:w="108" w:type="dxa"/>
            <w:bottom w:w="0" w:type="dxa"/>
            <w:right w:w="108" w:type="dxa"/>
          </w:tblCellMar>
        </w:tblPrEx>
        <w:trPr>
          <w:trHeight w:val="46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★2.车辆最大允许总质量≥14T</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3.发动机功率≥120KW</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rPr>
              <w:t>4.作业行驶速度：≤3KM/H-20KM/H</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5.道路行驶最大速度：≥80KM/H</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辅助        发动机</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1.采用国内外知名品牌，排放达到国四及以上排放要求。</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★2.发动机功率≥100KW</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吸尘           风机</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1.风机形式：离心式高压风机</w:t>
            </w:r>
          </w:p>
        </w:tc>
      </w:tr>
      <w:tr>
        <w:tblPrEx>
          <w:tblLayout w:type="fixed"/>
          <w:tblCellMar>
            <w:top w:w="0" w:type="dxa"/>
            <w:left w:w="108" w:type="dxa"/>
            <w:bottom w:w="0" w:type="dxa"/>
            <w:right w:w="108" w:type="dxa"/>
          </w:tblCellMar>
        </w:tblPrEx>
        <w:trPr>
          <w:trHeight w:val="480" w:hRule="atLeast"/>
        </w:trPr>
        <w:tc>
          <w:tcPr>
            <w:tcW w:w="88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2.驱动:辅助发动机驱动</w:t>
            </w:r>
          </w:p>
        </w:tc>
      </w:tr>
      <w:tr>
        <w:tblPrEx>
          <w:tblLayout w:type="fixed"/>
          <w:tblCellMar>
            <w:top w:w="0" w:type="dxa"/>
            <w:left w:w="108" w:type="dxa"/>
            <w:bottom w:w="0" w:type="dxa"/>
            <w:right w:w="108" w:type="dxa"/>
          </w:tblCellMar>
        </w:tblPrEx>
        <w:trPr>
          <w:trHeight w:val="480" w:hRule="atLeast"/>
        </w:trPr>
        <w:tc>
          <w:tcPr>
            <w:tcW w:w="885"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3.风机参数：风量≥12000M</w:t>
            </w:r>
            <w:r>
              <w:rPr>
                <w:rFonts w:hint="eastAsia" w:ascii="宋体" w:hAnsi="宋体" w:eastAsia="宋体" w:cs="宋体"/>
                <w:i w:val="0"/>
                <w:iCs w:val="0"/>
                <w:color w:val="auto"/>
                <w:kern w:val="0"/>
                <w:sz w:val="21"/>
                <w:szCs w:val="21"/>
                <w:u w:val="none"/>
                <w:vertAlign w:val="superscript"/>
                <w:lang w:val="en-US" w:eastAsia="zh-CN"/>
              </w:rPr>
              <w:t>3</w:t>
            </w:r>
            <w:r>
              <w:rPr>
                <w:rFonts w:hint="eastAsia" w:ascii="宋体" w:hAnsi="宋体" w:eastAsia="宋体" w:cs="宋体"/>
                <w:i w:val="0"/>
                <w:iCs w:val="0"/>
                <w:color w:val="auto"/>
                <w:kern w:val="0"/>
                <w:sz w:val="21"/>
                <w:szCs w:val="21"/>
                <w:u w:val="none"/>
                <w:lang w:val="en-US" w:eastAsia="zh-CN"/>
              </w:rPr>
              <w:t>/H</w:t>
            </w:r>
          </w:p>
        </w:tc>
      </w:tr>
      <w:tr>
        <w:tblPrEx>
          <w:tblLayout w:type="fixed"/>
          <w:tblCellMar>
            <w:top w:w="0" w:type="dxa"/>
            <w:left w:w="108" w:type="dxa"/>
            <w:bottom w:w="0" w:type="dxa"/>
            <w:right w:w="108" w:type="dxa"/>
          </w:tblCellMar>
        </w:tblPrEx>
        <w:trPr>
          <w:trHeight w:val="480" w:hRule="atLeast"/>
        </w:trPr>
        <w:tc>
          <w:tcPr>
            <w:tcW w:w="88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★4.垃圾进口直径≥360MM</w:t>
            </w:r>
            <w:r>
              <w:rPr>
                <w:rStyle w:val="38"/>
                <w:rFonts w:hint="eastAsia" w:ascii="宋体" w:hAnsi="宋体" w:eastAsia="宋体" w:cs="宋体"/>
                <w:color w:val="auto"/>
                <w:sz w:val="21"/>
                <w:szCs w:val="21"/>
                <w:lang w:val="en-US" w:eastAsia="zh-CN"/>
              </w:rPr>
              <w:t>（须将公告参数附于投标文件中）</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执行   机构</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1.吸盘结构合理，能够有效保持负压建立、保证吸尘效率；易磨损位置应配置耐磨材料</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2.边刷直径≥300MM；滚刷直径≥250MM；滚刷长度≥2300MM</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3.边刷及滚刷材质采用耐磨钢刷或不低于该材质</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★4.边刷及滚刷旋转采用液压驱动并能够单独控制</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★5.吸盘及边刷采用液压升降、举伸并能够单独控制</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集尘箱</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★1.箱体有效集尘容积≥7M</w:t>
            </w:r>
            <w:r>
              <w:rPr>
                <w:rFonts w:hint="eastAsia" w:ascii="宋体" w:hAnsi="宋体" w:eastAsia="宋体" w:cs="宋体"/>
                <w:i w:val="0"/>
                <w:iCs w:val="0"/>
                <w:color w:val="auto"/>
                <w:kern w:val="0"/>
                <w:sz w:val="21"/>
                <w:szCs w:val="21"/>
                <w:u w:val="none"/>
                <w:vertAlign w:val="superscript"/>
                <w:lang w:val="en-US" w:eastAsia="zh-CN"/>
              </w:rPr>
              <w:t>3</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2.箱体结构设计合理、坚固耐用，抗变形</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★3.箱体采用液压举升，举升角度≥45</w:t>
            </w:r>
            <w:r>
              <w:rPr>
                <w:rFonts w:hint="eastAsia" w:ascii="宋体" w:hAnsi="宋体" w:eastAsia="宋体" w:cs="宋体"/>
                <w:i w:val="0"/>
                <w:iCs w:val="0"/>
                <w:color w:val="auto"/>
                <w:kern w:val="0"/>
                <w:sz w:val="21"/>
                <w:szCs w:val="21"/>
                <w:u w:val="none"/>
                <w:vertAlign w:val="superscript"/>
                <w:lang w:val="en-US" w:eastAsia="zh-CN"/>
              </w:rPr>
              <w:t>。</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★4.具备大放料门快速放料及小放料门无尘放料、配置液压驱动的放料螺旋</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 xml:space="preserve">过滤  除尘   系统 </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1.采用耐水、耐油工业布袋</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w:t>
            </w:r>
            <w:r>
              <w:rPr>
                <w:rFonts w:hint="eastAsia" w:ascii="宋体" w:hAnsi="宋体" w:eastAsia="宋体" w:cs="宋体"/>
                <w:color w:val="auto"/>
                <w:kern w:val="0"/>
                <w:sz w:val="21"/>
                <w:szCs w:val="21"/>
              </w:rPr>
              <w:t>反吹风</w:t>
            </w:r>
            <w:r>
              <w:rPr>
                <w:rFonts w:hint="eastAsia" w:ascii="宋体" w:hAnsi="宋体" w:eastAsia="宋体" w:cs="宋体"/>
                <w:color w:val="auto"/>
                <w:kern w:val="0"/>
                <w:sz w:val="21"/>
                <w:szCs w:val="21"/>
                <w:lang w:val="en-US" w:eastAsia="zh-CN"/>
              </w:rPr>
              <w:t>给</w:t>
            </w:r>
            <w:r>
              <w:rPr>
                <w:rFonts w:hint="eastAsia" w:ascii="宋体" w:hAnsi="宋体" w:eastAsia="宋体" w:cs="宋体"/>
                <w:color w:val="auto"/>
                <w:kern w:val="0"/>
                <w:sz w:val="21"/>
                <w:szCs w:val="21"/>
              </w:rPr>
              <w:t>布袋除尘，采用压缩空气的、需对气源进行干燥处理</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3.布袋过滤面积≥90M</w:t>
            </w:r>
            <w:r>
              <w:rPr>
                <w:rFonts w:hint="eastAsia" w:ascii="宋体" w:hAnsi="宋体" w:eastAsia="宋体" w:cs="宋体"/>
                <w:i w:val="0"/>
                <w:iCs w:val="0"/>
                <w:color w:val="auto"/>
                <w:kern w:val="0"/>
                <w:sz w:val="21"/>
                <w:szCs w:val="21"/>
                <w:u w:val="none"/>
                <w:vertAlign w:val="superscript"/>
                <w:lang w:val="en-US" w:eastAsia="zh-CN"/>
              </w:rPr>
              <w:t>2</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★4.过滤布袋数量≥380只</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5.布袋材质：涤纶四氟乙烯</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液压   系统</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1.所有执行机构动作（边刷、滚刷、吸盘动作及集尘箱顶升等）均采用液压驱动</w:t>
            </w:r>
          </w:p>
        </w:tc>
      </w:tr>
      <w:tr>
        <w:tblPrEx>
          <w:tblLayout w:type="fixed"/>
          <w:tblCellMar>
            <w:top w:w="0" w:type="dxa"/>
            <w:left w:w="108" w:type="dxa"/>
            <w:bottom w:w="0" w:type="dxa"/>
            <w:right w:w="108" w:type="dxa"/>
          </w:tblCellMar>
        </w:tblPrEx>
        <w:trPr>
          <w:trHeight w:val="60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2.液压元件（泵、马达、液压阀）采用国内知名品牌</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控制   系统</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1.电气元件采用国内知名品牌</w:t>
            </w:r>
          </w:p>
        </w:tc>
      </w:tr>
      <w:tr>
        <w:tblPrEx>
          <w:tblLayout w:type="fixed"/>
          <w:tblCellMar>
            <w:top w:w="0" w:type="dxa"/>
            <w:left w:w="108" w:type="dxa"/>
            <w:bottom w:w="0" w:type="dxa"/>
            <w:right w:w="108" w:type="dxa"/>
          </w:tblCellMar>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2.辅助发动机、执行机构、集尘箱举升清灰等作业控制集成于驾驶室内，实现1人操作</w:t>
            </w:r>
          </w:p>
        </w:tc>
      </w:tr>
      <w:tr>
        <w:tblPrEx>
          <w:tblLayout w:type="fixed"/>
          <w:tblCellMar>
            <w:top w:w="0" w:type="dxa"/>
            <w:left w:w="108" w:type="dxa"/>
            <w:bottom w:w="0" w:type="dxa"/>
            <w:right w:w="108" w:type="dxa"/>
          </w:tblCellMar>
        </w:tblPrEx>
        <w:trPr>
          <w:trHeight w:val="480"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整车   要求</w:t>
            </w: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★1.整车为2023年生产、全新未使用设备</w:t>
            </w:r>
          </w:p>
        </w:tc>
      </w:tr>
      <w:tr>
        <w:tblPrEx>
          <w:tblLayout w:type="fixed"/>
          <w:tblCellMar>
            <w:top w:w="0" w:type="dxa"/>
            <w:left w:w="108" w:type="dxa"/>
            <w:bottom w:w="0" w:type="dxa"/>
            <w:right w:w="108"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2.整车具有国家发改委上牌公告，国税局免税公告，国家环保公告，3C认证</w:t>
            </w:r>
          </w:p>
        </w:tc>
      </w:tr>
      <w:tr>
        <w:tblPrEx>
          <w:tblLayout w:type="fixed"/>
          <w:tblCellMar>
            <w:top w:w="0" w:type="dxa"/>
            <w:left w:w="108" w:type="dxa"/>
            <w:bottom w:w="0" w:type="dxa"/>
            <w:right w:w="108"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3.设备供应时间：中标通知书公示后10日内</w:t>
            </w:r>
            <w:r>
              <w:rPr>
                <w:rFonts w:hint="eastAsia" w:ascii="宋体" w:hAnsi="宋体" w:eastAsia="宋体" w:cs="宋体"/>
                <w:i w:val="0"/>
                <w:iCs w:val="0"/>
                <w:color w:val="auto"/>
                <w:kern w:val="0"/>
                <w:sz w:val="21"/>
                <w:szCs w:val="21"/>
                <w:u w:val="none"/>
                <w:lang w:val="en-US" w:eastAsia="zh-CN"/>
              </w:rPr>
              <w:br w:type="textWrapping"/>
            </w:r>
            <w:r>
              <w:rPr>
                <w:rFonts w:hint="eastAsia" w:ascii="宋体" w:hAnsi="宋体" w:eastAsia="宋体" w:cs="宋体"/>
                <w:i w:val="0"/>
                <w:iCs w:val="0"/>
                <w:color w:val="auto"/>
                <w:kern w:val="0"/>
                <w:sz w:val="21"/>
                <w:szCs w:val="21"/>
                <w:u w:val="none"/>
                <w:lang w:val="en-US" w:eastAsia="zh-CN"/>
              </w:rPr>
              <w:t xml:space="preserve">  设备供应地点：安徽省合肥市投标方指定地点</w:t>
            </w:r>
          </w:p>
        </w:tc>
      </w:tr>
      <w:tr>
        <w:tblPrEx>
          <w:tblLayout w:type="fixed"/>
          <w:tblCellMar>
            <w:top w:w="0" w:type="dxa"/>
            <w:left w:w="108" w:type="dxa"/>
            <w:bottom w:w="0" w:type="dxa"/>
            <w:right w:w="108" w:type="dxa"/>
          </w:tblCellMar>
        </w:tblPrEx>
        <w:trPr>
          <w:trHeight w:val="64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4.设备质量保证期在设备验收合格后不少于12个月</w:t>
            </w:r>
          </w:p>
        </w:tc>
      </w:tr>
      <w:tr>
        <w:tblPrEx>
          <w:tblLayout w:type="fixed"/>
          <w:tblCellMar>
            <w:top w:w="0" w:type="dxa"/>
            <w:left w:w="108" w:type="dxa"/>
            <w:bottom w:w="0" w:type="dxa"/>
            <w:right w:w="108" w:type="dxa"/>
          </w:tblCellMar>
        </w:tblPrEx>
        <w:trPr>
          <w:trHeight w:val="1084" w:hRule="atLeast"/>
        </w:trPr>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其他    要求</w:t>
            </w:r>
          </w:p>
        </w:tc>
        <w:tc>
          <w:tcPr>
            <w:tcW w:w="76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000000"/>
                <w:kern w:val="0"/>
                <w:sz w:val="21"/>
                <w:szCs w:val="21"/>
                <w:u w:val="none"/>
                <w:lang w:val="en-US" w:eastAsia="zh-CN"/>
              </w:rPr>
              <w:t>★1.配置作业监控系统；车尾配置工作指向灯及警示灯；驾驶室配置暖风及空调</w:t>
            </w:r>
          </w:p>
        </w:tc>
      </w:tr>
      <w:tr>
        <w:tblPrEx>
          <w:tblLayout w:type="fixed"/>
          <w:tblCellMar>
            <w:top w:w="0" w:type="dxa"/>
            <w:left w:w="108" w:type="dxa"/>
            <w:bottom w:w="0" w:type="dxa"/>
            <w:right w:w="108" w:type="dxa"/>
          </w:tblCellMar>
        </w:tblPrEx>
        <w:trPr>
          <w:trHeight w:val="675" w:hRule="atLeast"/>
        </w:trPr>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rPr>
              <w:t>★2.提供技术资料包含：设备产品合格证、电气图、操作保养手册以及设备的结构特点、工作原理、性能参数的详细图文说明</w:t>
            </w:r>
          </w:p>
        </w:tc>
      </w:tr>
      <w:tr>
        <w:tblPrEx>
          <w:tblLayout w:type="fixed"/>
          <w:tblCellMar>
            <w:top w:w="0" w:type="dxa"/>
            <w:left w:w="108" w:type="dxa"/>
            <w:bottom w:w="0" w:type="dxa"/>
            <w:right w:w="108" w:type="dxa"/>
          </w:tblCellMar>
        </w:tblPrEx>
        <w:trPr>
          <w:trHeight w:val="67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1"/>
                <w:szCs w:val="21"/>
                <w:u w:val="none"/>
              </w:rPr>
            </w:pPr>
          </w:p>
        </w:tc>
        <w:tc>
          <w:tcPr>
            <w:tcW w:w="76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质保期2年</w:t>
            </w:r>
          </w:p>
        </w:tc>
      </w:tr>
    </w:tbl>
    <w:p>
      <w:pPr>
        <w:spacing w:after="0" w:line="440" w:lineRule="exact"/>
        <w:ind w:firstLine="480" w:firstLineChars="200"/>
        <w:rPr>
          <w:sz w:val="18"/>
          <w:szCs w:val="18"/>
        </w:rPr>
      </w:pPr>
      <w:r>
        <w:rPr>
          <w:rFonts w:hint="eastAsia" w:ascii="仿宋" w:hAnsi="仿宋" w:eastAsia="仿宋"/>
          <w:sz w:val="24"/>
        </w:rPr>
        <w:t>带</w:t>
      </w:r>
      <w:r>
        <w:rPr>
          <w:rFonts w:hint="eastAsia" w:cs="宋体"/>
          <w:b/>
          <w:bCs/>
          <w:color w:val="FF0000"/>
          <w:sz w:val="21"/>
          <w:szCs w:val="21"/>
          <w:highlight w:val="none"/>
        </w:rPr>
        <w:t>★</w:t>
      </w:r>
      <w:r>
        <w:rPr>
          <w:rFonts w:hint="eastAsia" w:ascii="仿宋" w:hAnsi="仿宋" w:eastAsia="仿宋"/>
          <w:sz w:val="24"/>
        </w:rPr>
        <w:t>参数为关键性技术参数,投标人必须无条件满足</w:t>
      </w:r>
      <w:r>
        <w:rPr>
          <w:rFonts w:ascii="仿宋" w:hAnsi="仿宋" w:eastAsia="仿宋"/>
          <w:sz w:val="24"/>
        </w:rPr>
        <w:t>,</w:t>
      </w:r>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pStyle w:val="2"/>
      </w:pP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ind w:firstLine="630" w:firstLineChars="300"/>
        <w:jc w:val="left"/>
        <w:rPr>
          <w:rFonts w:hint="eastAsia" w:ascii="宋体" w:hAnsi="宋体" w:eastAsia="宋体" w:cs="宋体"/>
          <w:sz w:val="21"/>
          <w:szCs w:val="21"/>
        </w:rPr>
      </w:pPr>
      <w:r>
        <w:rPr>
          <w:rFonts w:hint="eastAsia" w:ascii="宋体" w:hAnsi="宋体" w:eastAsia="宋体" w:cs="宋体"/>
          <w:sz w:val="21"/>
          <w:szCs w:val="21"/>
        </w:rPr>
        <w:t>注：带*号技术参数必须完全满足。</w:t>
      </w: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3125"/>
      <w:bookmarkStart w:id="80" w:name="_Toc2786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8261"/>
      <w:bookmarkStart w:id="82" w:name="_Toc25299"/>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参见的内容，需对其中所列各项指标和要求逐项明确响应。技术参数要求中加“*”的项目，是满足技术规格的最低要求，必须全部满足。</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7、交货地点：安徽省交通控股集团有限公司六安北管理中心院区内。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0" w:firstLineChars="200"/>
        <w:rPr>
          <w:rFonts w:hint="eastAsia" w:ascii="宋体" w:hAnsi="宋体" w:eastAsia="宋体" w:cs="宋体"/>
          <w:bCs/>
          <w:sz w:val="21"/>
          <w:szCs w:val="21"/>
        </w:rPr>
      </w:pP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27552_WPSOffice_Level1"/>
      <w:bookmarkStart w:id="87" w:name="_Toc1914_WPSOffice_Level1"/>
      <w:bookmarkStart w:id="88" w:name="_Toc17394_WPSOffice_Level1"/>
      <w:bookmarkStart w:id="89" w:name="_Toc5145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20076_WPSOffice_Level2"/>
      <w:bookmarkStart w:id="93" w:name="_Toc31577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30529_WPSOffice_Level1"/>
      <w:bookmarkStart w:id="98" w:name="_Toc11424_WPSOffice_Level1"/>
      <w:bookmarkStart w:id="99" w:name="_Toc23368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5317_WPSOffice_Level1"/>
      <w:bookmarkStart w:id="102" w:name="_Toc31927_WPSOffice_Level1"/>
      <w:bookmarkStart w:id="103" w:name="_Toc32729_WPSOffice_Level1"/>
      <w:bookmarkStart w:id="104" w:name="_Toc212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4728_WPSOffice_Level1"/>
      <w:bookmarkStart w:id="107" w:name="_Toc29085_WPSOffice_Level1"/>
      <w:bookmarkStart w:id="108" w:name="_Toc2596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0608_WPSOffice_Level1"/>
      <w:bookmarkStart w:id="110" w:name="_Toc7453_WPSOffice_Level1"/>
      <w:bookmarkStart w:id="111" w:name="_Toc23744_WPSOffice_Level1"/>
      <w:bookmarkStart w:id="112"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1578_WPSOffice_Level1"/>
      <w:bookmarkStart w:id="115" w:name="_Toc19601_WPSOffice_Level1"/>
      <w:bookmarkStart w:id="116" w:name="_Toc9006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0273_WPSOffice_Level1"/>
      <w:bookmarkStart w:id="124" w:name="_Toc32648_WPSOffice_Level1"/>
      <w:bookmarkStart w:id="125" w:name="_Toc27403_WPSOffice_Level1"/>
      <w:bookmarkStart w:id="126" w:name="_Toc25804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0234_WPSOffice_Level1"/>
      <w:bookmarkStart w:id="128" w:name="_Toc32152_WPSOffice_Level1"/>
      <w:bookmarkStart w:id="129" w:name="_Toc4051_WPSOffice_Level1"/>
      <w:bookmarkStart w:id="130" w:name="_Toc23147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3" w:name="_Toc18312_WPSOffice_Level1"/>
      <w:bookmarkStart w:id="134" w:name="_Toc30031_WPSOffice_Level1"/>
      <w:bookmarkStart w:id="135" w:name="_Toc2765_WPSOffice_Level1"/>
      <w:bookmarkStart w:id="136" w:name="_Toc1687_WPSOffice_Level1"/>
      <w:bookmarkStart w:id="137" w:name="_Toc29399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8695_WPSOffice_Level1"/>
      <w:bookmarkStart w:id="140" w:name="_Toc18668_WPSOffice_Level1"/>
      <w:bookmarkStart w:id="141" w:name="_Toc32350_WPSOffice_Level1"/>
      <w:bookmarkStart w:id="142" w:name="_Toc14563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67_WPSOffice_Level1"/>
      <w:bookmarkStart w:id="148" w:name="_Toc15186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7738_WPSOffice_Level1"/>
      <w:bookmarkStart w:id="153" w:name="_Toc31445_WPSOffice_Level1"/>
      <w:bookmarkStart w:id="154" w:name="_Toc22815_WPSOffice_Level1"/>
      <w:bookmarkStart w:id="155" w:name="_Toc10436_WPSOffice_Level1"/>
      <w:bookmarkStart w:id="156" w:name="_Toc235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3772_WPSOffice_Level1"/>
      <w:bookmarkStart w:id="160" w:name="_Toc5072_WPSOffice_Level1"/>
      <w:bookmarkStart w:id="161" w:name="_Toc19004_WPSOffice_Level1"/>
      <w:bookmarkStart w:id="162" w:name="_Toc1452_WPSOffice_Level1"/>
      <w:bookmarkStart w:id="163" w:name="_Toc1854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12019_WPSOffice_Level1"/>
      <w:bookmarkStart w:id="165" w:name="_Toc3893_WPSOffice_Level1"/>
      <w:bookmarkStart w:id="166" w:name="_Toc30712_WPSOffice_Level1"/>
      <w:bookmarkStart w:id="167" w:name="_Toc5403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A0NTI3NTQxYWY4OWYyNDk4NmY3OTAzYTI4OTcxYmE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32016E"/>
    <w:rsid w:val="28332E82"/>
    <w:rsid w:val="28945AD5"/>
    <w:rsid w:val="28A17421"/>
    <w:rsid w:val="28CB2405"/>
    <w:rsid w:val="28CC65CA"/>
    <w:rsid w:val="28E31299"/>
    <w:rsid w:val="28E4564A"/>
    <w:rsid w:val="28FD4C25"/>
    <w:rsid w:val="29121767"/>
    <w:rsid w:val="2916341D"/>
    <w:rsid w:val="293529A7"/>
    <w:rsid w:val="294549B1"/>
    <w:rsid w:val="298E4667"/>
    <w:rsid w:val="299921F9"/>
    <w:rsid w:val="299E263B"/>
    <w:rsid w:val="29AC15DA"/>
    <w:rsid w:val="29C849C9"/>
    <w:rsid w:val="29E638F8"/>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7E34E4"/>
    <w:rsid w:val="4791799F"/>
    <w:rsid w:val="479428F1"/>
    <w:rsid w:val="47971775"/>
    <w:rsid w:val="47B13E6B"/>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CE2F73"/>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15627</Words>
  <Characters>16731</Characters>
  <Lines>166</Lines>
  <Paragraphs>46</Paragraphs>
  <TotalTime>2</TotalTime>
  <ScaleCrop>false</ScaleCrop>
  <LinksUpToDate>false</LinksUpToDate>
  <CharactersWithSpaces>17272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2023-05-12T07:08:01Z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E228C9FAD4514C9FBD60B28EA79ABF59</vt:lpwstr>
  </property>
</Properties>
</file>