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11.24公务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24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12765"/>
      <w:bookmarkStart w:id="4" w:name="_Toc24354_WPSOffice_Level2"/>
      <w:bookmarkStart w:id="5" w:name="_Toc525632585"/>
      <w:bookmarkStart w:id="6" w:name="_Toc4489_WPSOffice_Level2"/>
      <w:bookmarkStart w:id="7" w:name="_Toc13871"/>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2022年安徽交运集团汽车销售有限公司11.24公务车采购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bookmarkStart w:id="140" w:name="_GoBack"/>
      <w:bookmarkEnd w:id="140"/>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2台轻客、2台皮卡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367_WPSOffice_Level2"/>
      <w:bookmarkStart w:id="10" w:name="_Toc17858_WPSOffice_Level2"/>
      <w:bookmarkStart w:id="11" w:name="_Toc525632586"/>
      <w:bookmarkStart w:id="12" w:name="_Toc8128_WPSOffice_Level2"/>
      <w:bookmarkStart w:id="13" w:name="_Toc23266_WPSOffice_Level2"/>
      <w:bookmarkStart w:id="14" w:name="_Toc10274"/>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2台轻客、2台皮卡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 70万元 含车辆购置税 （采购上汽大通V90  2022款2.0T自动智达后驱长轴高顶9座 2台  控制价40万； 采购上汽大通T70 2021款2.0T柴油自动四驱创领版 国六排放 2台  控制价30万）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cs="宋体"/>
          <w:sz w:val="21"/>
          <w:szCs w:val="21"/>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31673_WPSOffice_Level2"/>
      <w:bookmarkStart w:id="22" w:name="_Toc29516_WPSOffice_Level2"/>
      <w:bookmarkStart w:id="23" w:name="_Toc1622_WPSOffice_Level2"/>
      <w:bookmarkStart w:id="24" w:name="_Toc3714"/>
      <w:bookmarkStart w:id="25" w:name="_Toc22379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11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30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11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采购需求参数</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tbl>
      <w:tblPr>
        <w:tblStyle w:val="12"/>
        <w:tblW w:w="8260" w:type="dxa"/>
        <w:tblInd w:w="93" w:type="dxa"/>
        <w:tblLayout w:type="autofit"/>
        <w:tblCellMar>
          <w:top w:w="0" w:type="dxa"/>
          <w:left w:w="108" w:type="dxa"/>
          <w:bottom w:w="0" w:type="dxa"/>
          <w:right w:w="108" w:type="dxa"/>
        </w:tblCellMar>
      </w:tblPr>
      <w:tblGrid>
        <w:gridCol w:w="990"/>
        <w:gridCol w:w="4672"/>
        <w:gridCol w:w="2598"/>
      </w:tblGrid>
      <w:tr>
        <w:tblPrEx>
          <w:tblCellMar>
            <w:top w:w="0" w:type="dxa"/>
            <w:left w:w="108" w:type="dxa"/>
            <w:bottom w:w="0" w:type="dxa"/>
            <w:right w:w="108" w:type="dxa"/>
          </w:tblCellMar>
        </w:tblPrEx>
        <w:trPr>
          <w:trHeight w:val="477"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p>
        </w:tc>
        <w:tc>
          <w:tcPr>
            <w:tcW w:w="7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上汽大通V90配置表</w:t>
            </w:r>
            <w:r>
              <w:rPr>
                <w:rFonts w:hint="eastAsia" w:ascii="宋体" w:hAnsi="宋体" w:eastAsia="宋体" w:cs="宋体"/>
                <w:color w:val="000000"/>
                <w:kern w:val="0"/>
                <w:sz w:val="21"/>
                <w:szCs w:val="21"/>
              </w:rPr>
              <w:br w:type="textWrapping"/>
            </w:r>
          </w:p>
        </w:tc>
      </w:tr>
      <w:tr>
        <w:tblPrEx>
          <w:tblCellMar>
            <w:top w:w="0" w:type="dxa"/>
            <w:left w:w="108" w:type="dxa"/>
            <w:bottom w:w="0" w:type="dxa"/>
            <w:right w:w="108"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座椅数</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9座</w:t>
            </w:r>
          </w:p>
        </w:tc>
      </w:tr>
      <w:tr>
        <w:tblPrEx>
          <w:tblCellMar>
            <w:top w:w="0" w:type="dxa"/>
            <w:left w:w="108" w:type="dxa"/>
            <w:bottom w:w="0" w:type="dxa"/>
            <w:right w:w="108" w:type="dxa"/>
          </w:tblCellMar>
        </w:tblPrEx>
        <w:trPr>
          <w:trHeight w:val="5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长*宽*高</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5498*2062*2545</w:t>
            </w:r>
          </w:p>
        </w:tc>
      </w:tr>
      <w:tr>
        <w:tblPrEx>
          <w:tblCellMar>
            <w:top w:w="0" w:type="dxa"/>
            <w:left w:w="108" w:type="dxa"/>
            <w:bottom w:w="0" w:type="dxa"/>
            <w:right w:w="108" w:type="dxa"/>
          </w:tblCellMar>
        </w:tblPrEx>
        <w:trPr>
          <w:trHeight w:val="327"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额定功率（KW/rpm）</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≥110/3500</w:t>
            </w:r>
          </w:p>
        </w:tc>
      </w:tr>
      <w:tr>
        <w:tblPrEx>
          <w:tblCellMar>
            <w:top w:w="0" w:type="dxa"/>
            <w:left w:w="108" w:type="dxa"/>
            <w:bottom w:w="0" w:type="dxa"/>
            <w:right w:w="108" w:type="dxa"/>
          </w:tblCellMar>
        </w:tblPrEx>
        <w:trPr>
          <w:trHeight w:val="34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最大扭矩（N.m/rpm）</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375/1500~2400</w:t>
            </w:r>
          </w:p>
        </w:tc>
      </w:tr>
      <w:tr>
        <w:tblPrEx>
          <w:tblCellMar>
            <w:top w:w="0" w:type="dxa"/>
            <w:left w:w="108" w:type="dxa"/>
            <w:bottom w:w="0" w:type="dxa"/>
            <w:right w:w="108" w:type="dxa"/>
          </w:tblCellMar>
        </w:tblPrEx>
        <w:trPr>
          <w:trHeight w:val="27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排量</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2.0T</w:t>
            </w:r>
          </w:p>
        </w:tc>
      </w:tr>
      <w:tr>
        <w:tblPrEx>
          <w:tblCellMar>
            <w:top w:w="0" w:type="dxa"/>
            <w:left w:w="108" w:type="dxa"/>
            <w:bottom w:w="0" w:type="dxa"/>
            <w:right w:w="108" w:type="dxa"/>
          </w:tblCellMar>
        </w:tblPrEx>
        <w:trPr>
          <w:trHeight w:val="32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轴距（mm）</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3366</w:t>
            </w:r>
          </w:p>
        </w:tc>
      </w:tr>
      <w:tr>
        <w:tblPrEx>
          <w:tblCellMar>
            <w:top w:w="0" w:type="dxa"/>
            <w:left w:w="108" w:type="dxa"/>
            <w:bottom w:w="0" w:type="dxa"/>
            <w:right w:w="108" w:type="dxa"/>
          </w:tblCellMar>
        </w:tblPrEx>
        <w:trPr>
          <w:trHeight w:val="26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变速箱</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6AT</w:t>
            </w:r>
          </w:p>
        </w:tc>
      </w:tr>
      <w:tr>
        <w:tblPrEx>
          <w:tblCellMar>
            <w:top w:w="0" w:type="dxa"/>
            <w:left w:w="108" w:type="dxa"/>
            <w:bottom w:w="0" w:type="dxa"/>
            <w:right w:w="108" w:type="dxa"/>
          </w:tblCellMar>
        </w:tblPrEx>
        <w:trPr>
          <w:trHeight w:val="26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能源类型</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柴油</w:t>
            </w:r>
          </w:p>
        </w:tc>
      </w:tr>
      <w:tr>
        <w:tblPrEx>
          <w:tblCellMar>
            <w:top w:w="0" w:type="dxa"/>
            <w:left w:w="108" w:type="dxa"/>
            <w:bottom w:w="0" w:type="dxa"/>
            <w:right w:w="108" w:type="dxa"/>
          </w:tblCellMar>
        </w:tblPrEx>
        <w:trPr>
          <w:trHeight w:val="27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驱动方式</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前置后驱</w:t>
            </w:r>
          </w:p>
        </w:tc>
      </w:tr>
      <w:tr>
        <w:tblPrEx>
          <w:tblCellMar>
            <w:top w:w="0" w:type="dxa"/>
            <w:left w:w="108" w:type="dxa"/>
            <w:bottom w:w="0" w:type="dxa"/>
            <w:right w:w="108" w:type="dxa"/>
          </w:tblCellMar>
        </w:tblPrEx>
        <w:trPr>
          <w:trHeight w:val="41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前悬架/后悬架</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麦弗逊式独立悬架/非独立悬架</w:t>
            </w:r>
          </w:p>
        </w:tc>
      </w:tr>
      <w:tr>
        <w:tblPrEx>
          <w:tblCellMar>
            <w:top w:w="0" w:type="dxa"/>
            <w:left w:w="108" w:type="dxa"/>
            <w:bottom w:w="0" w:type="dxa"/>
            <w:right w:w="108" w:type="dxa"/>
          </w:tblCellMar>
        </w:tblPrEx>
        <w:trPr>
          <w:trHeight w:val="34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助力类型</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电动助力</w:t>
            </w:r>
          </w:p>
        </w:tc>
      </w:tr>
      <w:tr>
        <w:tblPrEx>
          <w:tblCellMar>
            <w:top w:w="0" w:type="dxa"/>
            <w:left w:w="108" w:type="dxa"/>
            <w:bottom w:w="0" w:type="dxa"/>
            <w:right w:w="108" w:type="dxa"/>
          </w:tblCellMar>
        </w:tblPrEx>
        <w:trPr>
          <w:trHeight w:val="45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制动系统前后</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盘式刹车</w:t>
            </w:r>
          </w:p>
        </w:tc>
      </w:tr>
      <w:tr>
        <w:tblPrEx>
          <w:tblCellMar>
            <w:top w:w="0" w:type="dxa"/>
            <w:left w:w="108" w:type="dxa"/>
            <w:bottom w:w="0" w:type="dxa"/>
            <w:right w:w="108" w:type="dxa"/>
          </w:tblCellMar>
        </w:tblPrEx>
        <w:trPr>
          <w:trHeight w:val="37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主副驾气囊</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43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轮胎规格</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235/65R16</w:t>
            </w:r>
          </w:p>
        </w:tc>
      </w:tr>
      <w:tr>
        <w:tblPrEx>
          <w:tblCellMar>
            <w:top w:w="0" w:type="dxa"/>
            <w:left w:w="108" w:type="dxa"/>
            <w:bottom w:w="0" w:type="dxa"/>
            <w:right w:w="108"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电动调节后视镜带加热</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34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倒车影像</w:t>
            </w:r>
          </w:p>
        </w:tc>
        <w:tc>
          <w:tcPr>
            <w:tcW w:w="25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座椅材质</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皮质</w:t>
            </w:r>
          </w:p>
        </w:tc>
      </w:tr>
      <w:tr>
        <w:tblPrEx>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定速巡航</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32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轮圈材质</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铝合金</w:t>
            </w:r>
          </w:p>
        </w:tc>
      </w:tr>
      <w:tr>
        <w:tblPrEx>
          <w:tblCellMar>
            <w:top w:w="0" w:type="dxa"/>
            <w:left w:w="108" w:type="dxa"/>
            <w:bottom w:w="0" w:type="dxa"/>
            <w:right w:w="108" w:type="dxa"/>
          </w:tblCellMar>
        </w:tblPrEx>
        <w:trPr>
          <w:trHeight w:val="37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移门电动侧踏步</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同平面推拉窗（右移门及对称的左侧窗共2扇窗）</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后排乘客豪华大座椅（双扶手、靠背可调、可前翻放平）</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胎压监测功能</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ABS</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后排独立空调</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后座出风口</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有</w:t>
            </w:r>
          </w:p>
        </w:tc>
      </w:tr>
      <w:tr>
        <w:tblPrEx>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LED日间行车灯</w:t>
            </w:r>
          </w:p>
        </w:tc>
        <w:tc>
          <w:tcPr>
            <w:tcW w:w="25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有</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tbl>
      <w:tblPr>
        <w:tblStyle w:val="12"/>
        <w:tblW w:w="82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469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286"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上汽大通MAXUS T70  柴油自动四驱长箱高底盘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能源类型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环保标准</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最大功率</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4</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最大扭矩</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整车尺寸（mm）</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5680*1900*1845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6</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轴距（mm）</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货箱尺寸（mm）</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1800*1510*530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8</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变速箱类型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驱动方式</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前置四驱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排量</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前悬类型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双叉臂螺旋独立悬架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后悬类型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全渐变钢板弹簧悬架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助力类型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液压助力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车体结构</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非承载式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15</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主副驾安全气囊</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16</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胎压监测</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17</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主驾驶安全带未系提醒</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18</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ABS防抱死</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19</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EBD制动力分配</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20</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BAS刹车辅助</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21</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TCS牵引力控制</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22</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后驻车雷达</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23</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定速巡航</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24</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上坡辅助</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25</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陡坡缓降</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26</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18吋铝合金轮毂</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27</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一键启动加无钥匙进入</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28</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多功能方向盘</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29</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皮质座椅</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30</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液晶中控大屏</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31</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自动空调</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32</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后排出风口</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33</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感应式雨刮</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34</w:t>
            </w:r>
          </w:p>
        </w:tc>
        <w:tc>
          <w:tcPr>
            <w:tcW w:w="469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自动大灯</w:t>
            </w:r>
          </w:p>
        </w:tc>
        <w:tc>
          <w:tcPr>
            <w:tcW w:w="26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w:t>
            </w:r>
          </w:p>
        </w:tc>
      </w:tr>
    </w:tbl>
    <w:p/>
    <w:p>
      <w:pPr>
        <w:pStyle w:val="2"/>
        <w:rPr>
          <w:rFonts w:hint="eastAsia" w:ascii="宋体" w:hAnsi="宋体" w:cs="仿宋_GB2312"/>
          <w:sz w:val="30"/>
          <w:szCs w:val="30"/>
          <w:lang w:val="en-US" w:eastAsia="zh-CN"/>
        </w:rPr>
      </w:pPr>
    </w:p>
    <w:p>
      <w:pPr>
        <w:pStyle w:val="2"/>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轻客</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cs="Times New Roman"/>
                <w:color w:val="auto"/>
                <w:sz w:val="21"/>
                <w:szCs w:val="22"/>
                <w:highlight w:val="none"/>
                <w:u w:val="none"/>
                <w:lang w:val="en-US" w:eastAsia="zh-CN"/>
              </w:rPr>
              <w:t>上汽大通V90  2022款2.0T自动智达后驱长轴高顶9座</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Times New Roman" w:hAnsi="Times New Roman" w:cs="Times New Roman"/>
                <w:color w:val="auto"/>
                <w:sz w:val="21"/>
                <w:szCs w:val="22"/>
                <w:highlight w:val="none"/>
                <w:u w:val="none"/>
                <w:lang w:val="en-US" w:eastAsia="zh-CN"/>
              </w:rPr>
              <w:t>上汽大通T70 2021款2.0T柴油自动四驱创领版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白色（制式车样）</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885" w:type="dxa"/>
            <w:noWrap w:val="0"/>
            <w:vAlign w:val="center"/>
          </w:tcPr>
          <w:p>
            <w:pPr>
              <w:ind w:firstLine="0" w:firstLineChars="0"/>
              <w:jc w:val="center"/>
              <w:rPr>
                <w:rFonts w:hint="eastAsia" w:ascii="宋体" w:hAnsi="宋体" w:eastAsia="宋体" w:cs="宋体"/>
                <w:sz w:val="21"/>
                <w:szCs w:val="21"/>
                <w:lang w:eastAsia="zh-CN"/>
              </w:rPr>
            </w:pP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914_WPSOffice_Level1"/>
      <w:bookmarkStart w:id="95" w:name="_Toc5145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default" w:ascii="Times New Roman" w:hAnsi="Times New Roman" w:eastAsia="黑体" w:cs="Times New Roman"/>
          <w:b/>
          <w:bCs/>
          <w:color w:val="auto"/>
          <w:sz w:val="20"/>
          <w:szCs w:val="20"/>
          <w:highlight w:val="none"/>
        </w:rPr>
      </w:pPr>
      <w:r>
        <w:rPr>
          <w:rFonts w:hint="eastAsia" w:ascii="Times New Roman" w:hAnsi="Times New Roman" w:eastAsia="黑体" w:cs="Times New Roman"/>
          <w:color w:val="auto"/>
          <w:sz w:val="20"/>
          <w:szCs w:val="20"/>
          <w:highlight w:val="none"/>
          <w:lang w:val="en-US" w:eastAsia="zh-CN"/>
        </w:rPr>
        <w:t xml:space="preserve"> </w:t>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974"/>
        <w:gridCol w:w="1441"/>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974"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974" w:type="dxa"/>
            <w:noWrap w:val="0"/>
            <w:vAlign w:val="center"/>
          </w:tcPr>
          <w:p>
            <w:pPr>
              <w:ind w:firstLine="0" w:firstLineChars="0"/>
              <w:jc w:val="center"/>
              <w:rPr>
                <w:rFonts w:hint="eastAsia" w:eastAsiaTheme="minorEastAsia"/>
                <w:sz w:val="30"/>
                <w:szCs w:val="30"/>
                <w:lang w:eastAsia="zh-CN"/>
              </w:rPr>
            </w:pPr>
          </w:p>
        </w:tc>
        <w:tc>
          <w:tcPr>
            <w:tcW w:w="1441"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5645"/>
    <w:rsid w:val="001D799F"/>
    <w:rsid w:val="00210A1D"/>
    <w:rsid w:val="00272678"/>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968D1"/>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CF75C5"/>
    <w:rsid w:val="03DF68F4"/>
    <w:rsid w:val="03ED0A2F"/>
    <w:rsid w:val="04211E08"/>
    <w:rsid w:val="042C3B1F"/>
    <w:rsid w:val="04457667"/>
    <w:rsid w:val="04494E3A"/>
    <w:rsid w:val="045A4B7B"/>
    <w:rsid w:val="04642508"/>
    <w:rsid w:val="047A7331"/>
    <w:rsid w:val="04920C55"/>
    <w:rsid w:val="04A248E7"/>
    <w:rsid w:val="04FE2BE7"/>
    <w:rsid w:val="050A45A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88780A"/>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6C5727"/>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B80DB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74DFC"/>
    <w:rsid w:val="0F56600C"/>
    <w:rsid w:val="0FD35451"/>
    <w:rsid w:val="0FDE4E7E"/>
    <w:rsid w:val="10047D3E"/>
    <w:rsid w:val="1015385D"/>
    <w:rsid w:val="1055158F"/>
    <w:rsid w:val="107348E1"/>
    <w:rsid w:val="107629EF"/>
    <w:rsid w:val="107B36EC"/>
    <w:rsid w:val="108261FD"/>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B7928"/>
    <w:rsid w:val="12B73173"/>
    <w:rsid w:val="12E843CB"/>
    <w:rsid w:val="12EF29CB"/>
    <w:rsid w:val="1301017A"/>
    <w:rsid w:val="13251998"/>
    <w:rsid w:val="133036AC"/>
    <w:rsid w:val="133631BD"/>
    <w:rsid w:val="133E53FC"/>
    <w:rsid w:val="135449DC"/>
    <w:rsid w:val="136A1724"/>
    <w:rsid w:val="13710699"/>
    <w:rsid w:val="13954387"/>
    <w:rsid w:val="13A445CA"/>
    <w:rsid w:val="13B7430D"/>
    <w:rsid w:val="13DE75EE"/>
    <w:rsid w:val="13E913A1"/>
    <w:rsid w:val="13EB2E20"/>
    <w:rsid w:val="13EE17CA"/>
    <w:rsid w:val="13F727DE"/>
    <w:rsid w:val="13FF26A7"/>
    <w:rsid w:val="14005579"/>
    <w:rsid w:val="143E047A"/>
    <w:rsid w:val="146A3A39"/>
    <w:rsid w:val="146A70C1"/>
    <w:rsid w:val="146C639C"/>
    <w:rsid w:val="147E68DB"/>
    <w:rsid w:val="1498179F"/>
    <w:rsid w:val="149D0A07"/>
    <w:rsid w:val="14AD74AF"/>
    <w:rsid w:val="14B05D2F"/>
    <w:rsid w:val="14BA42FD"/>
    <w:rsid w:val="14E022F6"/>
    <w:rsid w:val="14F50F73"/>
    <w:rsid w:val="150A1554"/>
    <w:rsid w:val="15107F20"/>
    <w:rsid w:val="152C615E"/>
    <w:rsid w:val="153122C9"/>
    <w:rsid w:val="154F540A"/>
    <w:rsid w:val="155E4C4D"/>
    <w:rsid w:val="156752D2"/>
    <w:rsid w:val="15701602"/>
    <w:rsid w:val="15C36A4E"/>
    <w:rsid w:val="15CA5E3E"/>
    <w:rsid w:val="15F55102"/>
    <w:rsid w:val="16057AB2"/>
    <w:rsid w:val="1615690A"/>
    <w:rsid w:val="16342DB1"/>
    <w:rsid w:val="16491459"/>
    <w:rsid w:val="164D19AE"/>
    <w:rsid w:val="16576E90"/>
    <w:rsid w:val="16664275"/>
    <w:rsid w:val="16AB5C70"/>
    <w:rsid w:val="16AD7C3A"/>
    <w:rsid w:val="16D03928"/>
    <w:rsid w:val="16F76C62"/>
    <w:rsid w:val="17156A92"/>
    <w:rsid w:val="173B67EB"/>
    <w:rsid w:val="17555AF7"/>
    <w:rsid w:val="17606543"/>
    <w:rsid w:val="176850E1"/>
    <w:rsid w:val="1771268E"/>
    <w:rsid w:val="1781794F"/>
    <w:rsid w:val="17A72143"/>
    <w:rsid w:val="17CF0864"/>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63D1E"/>
    <w:rsid w:val="19CC7A79"/>
    <w:rsid w:val="19DD457B"/>
    <w:rsid w:val="19F44957"/>
    <w:rsid w:val="19FD2538"/>
    <w:rsid w:val="1A156CFF"/>
    <w:rsid w:val="1A680B01"/>
    <w:rsid w:val="1AA11864"/>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F765A"/>
    <w:rsid w:val="1F772D6B"/>
    <w:rsid w:val="1F8841C9"/>
    <w:rsid w:val="1F942DC6"/>
    <w:rsid w:val="1F9F7B9A"/>
    <w:rsid w:val="1FAD2A59"/>
    <w:rsid w:val="1FB47C90"/>
    <w:rsid w:val="1FC830F6"/>
    <w:rsid w:val="1FC84E78"/>
    <w:rsid w:val="1FFF49B3"/>
    <w:rsid w:val="200A49DA"/>
    <w:rsid w:val="2010615E"/>
    <w:rsid w:val="201E5705"/>
    <w:rsid w:val="202C7E22"/>
    <w:rsid w:val="202E73DC"/>
    <w:rsid w:val="20350D4E"/>
    <w:rsid w:val="205B3A40"/>
    <w:rsid w:val="20790517"/>
    <w:rsid w:val="207A031A"/>
    <w:rsid w:val="209239FD"/>
    <w:rsid w:val="209A4709"/>
    <w:rsid w:val="20A32AD4"/>
    <w:rsid w:val="20B42C68"/>
    <w:rsid w:val="20C14537"/>
    <w:rsid w:val="20D03B7B"/>
    <w:rsid w:val="20D63C91"/>
    <w:rsid w:val="20D75A17"/>
    <w:rsid w:val="20F052F3"/>
    <w:rsid w:val="20F36B91"/>
    <w:rsid w:val="20F743F3"/>
    <w:rsid w:val="212017FC"/>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6643C9"/>
    <w:rsid w:val="22711268"/>
    <w:rsid w:val="227B6E3E"/>
    <w:rsid w:val="228C37EE"/>
    <w:rsid w:val="228C6100"/>
    <w:rsid w:val="22A75A54"/>
    <w:rsid w:val="22AF24B4"/>
    <w:rsid w:val="22BA5BB9"/>
    <w:rsid w:val="22C75FB3"/>
    <w:rsid w:val="23202A87"/>
    <w:rsid w:val="23221CE5"/>
    <w:rsid w:val="23291D55"/>
    <w:rsid w:val="23331629"/>
    <w:rsid w:val="23386ADD"/>
    <w:rsid w:val="23391EDB"/>
    <w:rsid w:val="23470EA4"/>
    <w:rsid w:val="23533555"/>
    <w:rsid w:val="235C166E"/>
    <w:rsid w:val="23607DE2"/>
    <w:rsid w:val="2386246B"/>
    <w:rsid w:val="23906919"/>
    <w:rsid w:val="23A42CCD"/>
    <w:rsid w:val="23B03575"/>
    <w:rsid w:val="23B5629D"/>
    <w:rsid w:val="23C26E54"/>
    <w:rsid w:val="23C640E9"/>
    <w:rsid w:val="23F25D22"/>
    <w:rsid w:val="24202C55"/>
    <w:rsid w:val="243A6885"/>
    <w:rsid w:val="243B42AE"/>
    <w:rsid w:val="244637AD"/>
    <w:rsid w:val="249A29C0"/>
    <w:rsid w:val="24C22F3D"/>
    <w:rsid w:val="24C74E0F"/>
    <w:rsid w:val="24CC38EA"/>
    <w:rsid w:val="24E57F07"/>
    <w:rsid w:val="24EA1E5C"/>
    <w:rsid w:val="25065F8E"/>
    <w:rsid w:val="2507530A"/>
    <w:rsid w:val="250B6661"/>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341715"/>
    <w:rsid w:val="285D5675"/>
    <w:rsid w:val="28945AD5"/>
    <w:rsid w:val="28CB2405"/>
    <w:rsid w:val="28E4564A"/>
    <w:rsid w:val="28F03AB8"/>
    <w:rsid w:val="28FD4C25"/>
    <w:rsid w:val="29581C87"/>
    <w:rsid w:val="297049A1"/>
    <w:rsid w:val="297E0D3E"/>
    <w:rsid w:val="298E4667"/>
    <w:rsid w:val="29AC15DA"/>
    <w:rsid w:val="29CF181E"/>
    <w:rsid w:val="2A1060BE"/>
    <w:rsid w:val="2A1D6B49"/>
    <w:rsid w:val="2A241464"/>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A83991"/>
    <w:rsid w:val="2BE307A7"/>
    <w:rsid w:val="2BE702F2"/>
    <w:rsid w:val="2C2358E3"/>
    <w:rsid w:val="2C6E3570"/>
    <w:rsid w:val="2C74409C"/>
    <w:rsid w:val="2C78559C"/>
    <w:rsid w:val="2C8608B9"/>
    <w:rsid w:val="2CCB157B"/>
    <w:rsid w:val="2CE81574"/>
    <w:rsid w:val="2CEE1A7D"/>
    <w:rsid w:val="2D044DD1"/>
    <w:rsid w:val="2D0F08AF"/>
    <w:rsid w:val="2D1C78E5"/>
    <w:rsid w:val="2D4633AE"/>
    <w:rsid w:val="2D491475"/>
    <w:rsid w:val="2D5E7110"/>
    <w:rsid w:val="2D6B3420"/>
    <w:rsid w:val="2D6B78B2"/>
    <w:rsid w:val="2D702015"/>
    <w:rsid w:val="2D76699A"/>
    <w:rsid w:val="2D853AD8"/>
    <w:rsid w:val="2D8B655F"/>
    <w:rsid w:val="2DA41677"/>
    <w:rsid w:val="2DCE076A"/>
    <w:rsid w:val="2DDA46A3"/>
    <w:rsid w:val="2E022020"/>
    <w:rsid w:val="2E044476"/>
    <w:rsid w:val="2E047F28"/>
    <w:rsid w:val="2E452391"/>
    <w:rsid w:val="2E5113E2"/>
    <w:rsid w:val="2E644C2A"/>
    <w:rsid w:val="2E704C0F"/>
    <w:rsid w:val="2E821BE2"/>
    <w:rsid w:val="2EA91D25"/>
    <w:rsid w:val="2EB44765"/>
    <w:rsid w:val="2EBF392D"/>
    <w:rsid w:val="2EC13E2B"/>
    <w:rsid w:val="2F1C5807"/>
    <w:rsid w:val="2F1F1548"/>
    <w:rsid w:val="2F21432D"/>
    <w:rsid w:val="2F2233EF"/>
    <w:rsid w:val="2F3740ED"/>
    <w:rsid w:val="2F730F8A"/>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54436"/>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D33D11"/>
    <w:rsid w:val="32D8194A"/>
    <w:rsid w:val="32E2300A"/>
    <w:rsid w:val="33035B90"/>
    <w:rsid w:val="3356659E"/>
    <w:rsid w:val="33880BEB"/>
    <w:rsid w:val="33953AD8"/>
    <w:rsid w:val="33A5118B"/>
    <w:rsid w:val="33A67436"/>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24A2E"/>
    <w:rsid w:val="3B2E1991"/>
    <w:rsid w:val="3B41700C"/>
    <w:rsid w:val="3B4336D5"/>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537B5B"/>
    <w:rsid w:val="3E56477C"/>
    <w:rsid w:val="3E757051"/>
    <w:rsid w:val="3E960E1A"/>
    <w:rsid w:val="3E9F6F1B"/>
    <w:rsid w:val="3ECD7713"/>
    <w:rsid w:val="3ECE2C18"/>
    <w:rsid w:val="3ECF7FD2"/>
    <w:rsid w:val="3ED2673E"/>
    <w:rsid w:val="3EDF33BB"/>
    <w:rsid w:val="3EF003A8"/>
    <w:rsid w:val="3EF3475E"/>
    <w:rsid w:val="3F00274D"/>
    <w:rsid w:val="3F22123C"/>
    <w:rsid w:val="3F413CC5"/>
    <w:rsid w:val="3F514486"/>
    <w:rsid w:val="3F5F4471"/>
    <w:rsid w:val="3F993EC6"/>
    <w:rsid w:val="3FAA1ACA"/>
    <w:rsid w:val="3FAA4098"/>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4F15AD"/>
    <w:rsid w:val="43541CB0"/>
    <w:rsid w:val="43B34232"/>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1432D"/>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6731C7"/>
    <w:rsid w:val="4977131A"/>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272E10"/>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501F1"/>
    <w:rsid w:val="4F3772ED"/>
    <w:rsid w:val="4F444103"/>
    <w:rsid w:val="4F4B5944"/>
    <w:rsid w:val="4FBD2661"/>
    <w:rsid w:val="4FC31B69"/>
    <w:rsid w:val="4FEE5452"/>
    <w:rsid w:val="5039019E"/>
    <w:rsid w:val="50527900"/>
    <w:rsid w:val="5065178E"/>
    <w:rsid w:val="50695D0B"/>
    <w:rsid w:val="50A330D6"/>
    <w:rsid w:val="50F70D9C"/>
    <w:rsid w:val="51117EE4"/>
    <w:rsid w:val="5126104F"/>
    <w:rsid w:val="512B60B4"/>
    <w:rsid w:val="513118E7"/>
    <w:rsid w:val="514E10F6"/>
    <w:rsid w:val="514F154D"/>
    <w:rsid w:val="5162262E"/>
    <w:rsid w:val="51694722"/>
    <w:rsid w:val="51733EAB"/>
    <w:rsid w:val="51995C82"/>
    <w:rsid w:val="51A0391C"/>
    <w:rsid w:val="51B556AE"/>
    <w:rsid w:val="51C621E0"/>
    <w:rsid w:val="51D05EF0"/>
    <w:rsid w:val="51D46B1B"/>
    <w:rsid w:val="51F6040A"/>
    <w:rsid w:val="52505342"/>
    <w:rsid w:val="526E6852"/>
    <w:rsid w:val="52763081"/>
    <w:rsid w:val="527A442A"/>
    <w:rsid w:val="52A9097C"/>
    <w:rsid w:val="52B54EDC"/>
    <w:rsid w:val="52B66D0F"/>
    <w:rsid w:val="52BB5061"/>
    <w:rsid w:val="52C939F0"/>
    <w:rsid w:val="52EC44CE"/>
    <w:rsid w:val="5314011E"/>
    <w:rsid w:val="53202F66"/>
    <w:rsid w:val="533539DF"/>
    <w:rsid w:val="53653F46"/>
    <w:rsid w:val="536C1D08"/>
    <w:rsid w:val="537431C5"/>
    <w:rsid w:val="5392540C"/>
    <w:rsid w:val="53A019B1"/>
    <w:rsid w:val="53B3034F"/>
    <w:rsid w:val="53BE2443"/>
    <w:rsid w:val="540A11ED"/>
    <w:rsid w:val="54293AD9"/>
    <w:rsid w:val="54442A7B"/>
    <w:rsid w:val="54550AD6"/>
    <w:rsid w:val="545C1D7C"/>
    <w:rsid w:val="54865517"/>
    <w:rsid w:val="54990450"/>
    <w:rsid w:val="54C11E3F"/>
    <w:rsid w:val="54C55B73"/>
    <w:rsid w:val="54D46102"/>
    <w:rsid w:val="54E43FB4"/>
    <w:rsid w:val="55256219"/>
    <w:rsid w:val="554B0189"/>
    <w:rsid w:val="5558452D"/>
    <w:rsid w:val="5587107B"/>
    <w:rsid w:val="5594183F"/>
    <w:rsid w:val="55971945"/>
    <w:rsid w:val="559B399C"/>
    <w:rsid w:val="55AA7B8D"/>
    <w:rsid w:val="55B607A1"/>
    <w:rsid w:val="55C477FF"/>
    <w:rsid w:val="55F30092"/>
    <w:rsid w:val="55F92F01"/>
    <w:rsid w:val="562927CE"/>
    <w:rsid w:val="56332CEF"/>
    <w:rsid w:val="569947D9"/>
    <w:rsid w:val="56D51695"/>
    <w:rsid w:val="56E01E7C"/>
    <w:rsid w:val="56FF2C87"/>
    <w:rsid w:val="57083261"/>
    <w:rsid w:val="5712706A"/>
    <w:rsid w:val="576725D2"/>
    <w:rsid w:val="57707A2A"/>
    <w:rsid w:val="57735468"/>
    <w:rsid w:val="57AC473C"/>
    <w:rsid w:val="57D845B0"/>
    <w:rsid w:val="57F95B34"/>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E44879"/>
    <w:rsid w:val="5AF2343A"/>
    <w:rsid w:val="5B1001B5"/>
    <w:rsid w:val="5B411CCC"/>
    <w:rsid w:val="5B505F2C"/>
    <w:rsid w:val="5B520346"/>
    <w:rsid w:val="5B53605F"/>
    <w:rsid w:val="5B7200D7"/>
    <w:rsid w:val="5B811F6C"/>
    <w:rsid w:val="5B966550"/>
    <w:rsid w:val="5BB81586"/>
    <w:rsid w:val="5BCF6F3C"/>
    <w:rsid w:val="5BD55463"/>
    <w:rsid w:val="5BD64EC0"/>
    <w:rsid w:val="5C562B00"/>
    <w:rsid w:val="5C7E0D7E"/>
    <w:rsid w:val="5CC6567E"/>
    <w:rsid w:val="5CC76201"/>
    <w:rsid w:val="5CD77A98"/>
    <w:rsid w:val="5CE44D90"/>
    <w:rsid w:val="5CEF332D"/>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547F68"/>
    <w:rsid w:val="5E746342"/>
    <w:rsid w:val="5E85744A"/>
    <w:rsid w:val="5E8D3F43"/>
    <w:rsid w:val="5E9D79FE"/>
    <w:rsid w:val="5EA07701"/>
    <w:rsid w:val="5EB01642"/>
    <w:rsid w:val="5EB75285"/>
    <w:rsid w:val="5EEB6C68"/>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107582C"/>
    <w:rsid w:val="611C2FBF"/>
    <w:rsid w:val="6153428A"/>
    <w:rsid w:val="61717B19"/>
    <w:rsid w:val="617C7F2C"/>
    <w:rsid w:val="618E553F"/>
    <w:rsid w:val="61980250"/>
    <w:rsid w:val="61AD3C17"/>
    <w:rsid w:val="61D740F7"/>
    <w:rsid w:val="6228683D"/>
    <w:rsid w:val="62756CE9"/>
    <w:rsid w:val="6294722E"/>
    <w:rsid w:val="62B660C6"/>
    <w:rsid w:val="62BE1E54"/>
    <w:rsid w:val="62E56056"/>
    <w:rsid w:val="62FE3F08"/>
    <w:rsid w:val="63023C14"/>
    <w:rsid w:val="6315416A"/>
    <w:rsid w:val="63295801"/>
    <w:rsid w:val="63416D0D"/>
    <w:rsid w:val="63776804"/>
    <w:rsid w:val="638B6757"/>
    <w:rsid w:val="639E2905"/>
    <w:rsid w:val="63D22ACA"/>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20C6C"/>
    <w:rsid w:val="65283AF6"/>
    <w:rsid w:val="653D0C4B"/>
    <w:rsid w:val="65433422"/>
    <w:rsid w:val="65440D8C"/>
    <w:rsid w:val="6564571B"/>
    <w:rsid w:val="65656A70"/>
    <w:rsid w:val="6574328C"/>
    <w:rsid w:val="658D79B1"/>
    <w:rsid w:val="65921AA2"/>
    <w:rsid w:val="65B5189C"/>
    <w:rsid w:val="65C073EA"/>
    <w:rsid w:val="65E06B45"/>
    <w:rsid w:val="664E5351"/>
    <w:rsid w:val="66503496"/>
    <w:rsid w:val="66595BE2"/>
    <w:rsid w:val="66846F11"/>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8F7DFF"/>
    <w:rsid w:val="68920D3E"/>
    <w:rsid w:val="68A33F3C"/>
    <w:rsid w:val="68B0223F"/>
    <w:rsid w:val="68BA4B9D"/>
    <w:rsid w:val="68D12A13"/>
    <w:rsid w:val="68E44CD3"/>
    <w:rsid w:val="690374EE"/>
    <w:rsid w:val="6923160C"/>
    <w:rsid w:val="692F3612"/>
    <w:rsid w:val="692F4C62"/>
    <w:rsid w:val="69362744"/>
    <w:rsid w:val="69692F41"/>
    <w:rsid w:val="69760518"/>
    <w:rsid w:val="698A554F"/>
    <w:rsid w:val="698E456E"/>
    <w:rsid w:val="699A4896"/>
    <w:rsid w:val="69A45301"/>
    <w:rsid w:val="69B43BB5"/>
    <w:rsid w:val="69D35325"/>
    <w:rsid w:val="69EB2EF3"/>
    <w:rsid w:val="69EE43DB"/>
    <w:rsid w:val="69F56C12"/>
    <w:rsid w:val="6A09181B"/>
    <w:rsid w:val="6A2B6A7F"/>
    <w:rsid w:val="6A303F59"/>
    <w:rsid w:val="6A3B678C"/>
    <w:rsid w:val="6A4C25E5"/>
    <w:rsid w:val="6A515F00"/>
    <w:rsid w:val="6A772442"/>
    <w:rsid w:val="6A7A34D3"/>
    <w:rsid w:val="6AA0506A"/>
    <w:rsid w:val="6ADD5CBB"/>
    <w:rsid w:val="6AE0505D"/>
    <w:rsid w:val="6AF15144"/>
    <w:rsid w:val="6B032AFA"/>
    <w:rsid w:val="6B0A20D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4C6C7F"/>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89330B"/>
    <w:rsid w:val="729C5D0C"/>
    <w:rsid w:val="72A51655"/>
    <w:rsid w:val="72B33B48"/>
    <w:rsid w:val="72BD6B75"/>
    <w:rsid w:val="730613D9"/>
    <w:rsid w:val="73253CEE"/>
    <w:rsid w:val="732A6942"/>
    <w:rsid w:val="73530396"/>
    <w:rsid w:val="73B65107"/>
    <w:rsid w:val="73CD1828"/>
    <w:rsid w:val="73E9784B"/>
    <w:rsid w:val="73EE7FAE"/>
    <w:rsid w:val="73F0718E"/>
    <w:rsid w:val="73F2388C"/>
    <w:rsid w:val="73FB6A64"/>
    <w:rsid w:val="74070CA0"/>
    <w:rsid w:val="741144D9"/>
    <w:rsid w:val="74534933"/>
    <w:rsid w:val="74700DEC"/>
    <w:rsid w:val="7481099D"/>
    <w:rsid w:val="748E118B"/>
    <w:rsid w:val="74B57A32"/>
    <w:rsid w:val="74C01A5C"/>
    <w:rsid w:val="74D64864"/>
    <w:rsid w:val="74E16D8B"/>
    <w:rsid w:val="74E6272A"/>
    <w:rsid w:val="74EB30D0"/>
    <w:rsid w:val="75151909"/>
    <w:rsid w:val="751C632F"/>
    <w:rsid w:val="752C0B88"/>
    <w:rsid w:val="75366D02"/>
    <w:rsid w:val="75494F9F"/>
    <w:rsid w:val="755D72AA"/>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2B19EF"/>
    <w:rsid w:val="78397B5B"/>
    <w:rsid w:val="78474B5C"/>
    <w:rsid w:val="78EC5524"/>
    <w:rsid w:val="78FC7191"/>
    <w:rsid w:val="79030169"/>
    <w:rsid w:val="79053EE1"/>
    <w:rsid w:val="790939D1"/>
    <w:rsid w:val="790E2520"/>
    <w:rsid w:val="79232B20"/>
    <w:rsid w:val="79714322"/>
    <w:rsid w:val="7983555C"/>
    <w:rsid w:val="798B1010"/>
    <w:rsid w:val="799139C7"/>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3F3BAE"/>
    <w:rsid w:val="7CAE35FB"/>
    <w:rsid w:val="7CB163F4"/>
    <w:rsid w:val="7CB84091"/>
    <w:rsid w:val="7CD4053F"/>
    <w:rsid w:val="7D1C17D1"/>
    <w:rsid w:val="7D3B6CFC"/>
    <w:rsid w:val="7D3C710B"/>
    <w:rsid w:val="7D646F8A"/>
    <w:rsid w:val="7D650780"/>
    <w:rsid w:val="7D796EE5"/>
    <w:rsid w:val="7D821FA4"/>
    <w:rsid w:val="7D947886"/>
    <w:rsid w:val="7DB26C75"/>
    <w:rsid w:val="7DBD1010"/>
    <w:rsid w:val="7DE91C2E"/>
    <w:rsid w:val="7DE94DD7"/>
    <w:rsid w:val="7DF144DE"/>
    <w:rsid w:val="7DFA36D3"/>
    <w:rsid w:val="7E0247C5"/>
    <w:rsid w:val="7E1352F2"/>
    <w:rsid w:val="7E2146D8"/>
    <w:rsid w:val="7E3D10ED"/>
    <w:rsid w:val="7E8D2CD0"/>
    <w:rsid w:val="7EA64FD4"/>
    <w:rsid w:val="7EA652E1"/>
    <w:rsid w:val="7EAD7C73"/>
    <w:rsid w:val="7EB93A9E"/>
    <w:rsid w:val="7ED4259F"/>
    <w:rsid w:val="7ED656C1"/>
    <w:rsid w:val="7EE84790"/>
    <w:rsid w:val="7EE94F58"/>
    <w:rsid w:val="7EED2C44"/>
    <w:rsid w:val="7EF11A57"/>
    <w:rsid w:val="7F375162"/>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9051</Words>
  <Characters>9961</Characters>
  <Lines>0</Lines>
  <Paragraphs>0</Paragraphs>
  <TotalTime>7</TotalTime>
  <ScaleCrop>false</ScaleCrop>
  <LinksUpToDate>false</LinksUpToDate>
  <CharactersWithSpaces>11702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2022-11-24T08:36:29Z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9287CD1DB6F74A3D9E0854E8BB5C20FA</vt:lpwstr>
  </property>
</Properties>
</file>