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cs="Times New Roman"/>
          <w:b/>
          <w:bCs/>
          <w:color w:val="FF0000"/>
          <w:sz w:val="44"/>
          <w:szCs w:val="44"/>
        </w:rPr>
      </w:pPr>
      <w:bookmarkStart w:id="169" w:name="_GoBack"/>
      <w:r>
        <w:rPr>
          <w:rFonts w:hint="eastAsia" w:ascii="方正粗黑宋简体" w:hAnsi="方正粗黑宋简体" w:eastAsia="方正粗黑宋简体" w:cs="宋体"/>
          <w:b/>
          <w:bCs/>
          <w:sz w:val="44"/>
          <w:szCs w:val="44"/>
        </w:rPr>
        <w:t>2022年度安徽交运集团汽车销售有限公司</w:t>
      </w:r>
      <w:r>
        <w:rPr>
          <w:rFonts w:hint="eastAsia" w:ascii="方正粗黑宋简体" w:hAnsi="方正粗黑宋简体" w:eastAsia="方正粗黑宋简体" w:cs="宋体"/>
          <w:b/>
          <w:bCs/>
          <w:color w:val="auto"/>
          <w:sz w:val="44"/>
          <w:szCs w:val="44"/>
        </w:rPr>
        <w:t>4.</w:t>
      </w:r>
      <w:r>
        <w:rPr>
          <w:rFonts w:hint="eastAsia" w:ascii="方正粗黑宋简体" w:hAnsi="方正粗黑宋简体" w:eastAsia="方正粗黑宋简体" w:cs="宋体"/>
          <w:b/>
          <w:bCs/>
          <w:color w:val="auto"/>
          <w:sz w:val="44"/>
          <w:szCs w:val="44"/>
          <w:lang w:val="en-US" w:eastAsia="zh-CN"/>
        </w:rPr>
        <w:t>20</w:t>
      </w:r>
      <w:r>
        <w:rPr>
          <w:rFonts w:hint="eastAsia" w:ascii="方正粗黑宋简体" w:hAnsi="方正粗黑宋简体" w:eastAsia="方正粗黑宋简体" w:cs="宋体"/>
          <w:b/>
          <w:bCs/>
          <w:color w:val="auto"/>
          <w:sz w:val="44"/>
          <w:szCs w:val="44"/>
        </w:rPr>
        <w:t>平板型清障车采购</w:t>
      </w:r>
    </w:p>
    <w:bookmarkEnd w:id="169"/>
    <w:p>
      <w:pPr>
        <w:spacing w:line="540" w:lineRule="exact"/>
        <w:ind w:firstLine="420"/>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询比文件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采购人：</w:t>
      </w:r>
      <w:r>
        <w:rPr>
          <w:rFonts w:hint="eastAsia" w:ascii="Times New Roman" w:hAnsi="Times New Roman" w:eastAsia="黑体" w:cs="Times New Roman"/>
          <w:sz w:val="32"/>
          <w:szCs w:val="32"/>
          <w:u w:val="single"/>
        </w:rPr>
        <w:t>安徽交运集团汽车销售有限公司</w:t>
      </w:r>
    </w:p>
    <w:p>
      <w:pPr>
        <w:snapToGrid w:val="0"/>
        <w:ind w:left="1896" w:leftChars="903"/>
        <w:rPr>
          <w:rFonts w:ascii="Times New Roman" w:hAnsi="Times New Roman" w:cs="Times New Roman"/>
          <w:sz w:val="32"/>
          <w:szCs w:val="32"/>
        </w:rPr>
      </w:pPr>
    </w:p>
    <w:p>
      <w:pPr>
        <w:snapToGrid w:val="0"/>
        <w:ind w:firstLine="960" w:firstLineChars="300"/>
        <w:rPr>
          <w:rFonts w:ascii="Times New Roman" w:hAnsi="Times New Roman" w:cs="Times New Roman"/>
          <w:color w:val="auto"/>
          <w:sz w:val="32"/>
          <w:szCs w:val="32"/>
        </w:rPr>
      </w:pPr>
      <w:r>
        <w:rPr>
          <w:rFonts w:ascii="Times New Roman" w:hAnsi="Times New Roman" w:eastAsia="黑体" w:cs="Times New Roman"/>
          <w:color w:val="auto"/>
          <w:sz w:val="32"/>
          <w:szCs w:val="32"/>
        </w:rPr>
        <w:t>日</w:t>
      </w:r>
      <w:r>
        <w:rPr>
          <w:rFonts w:hint="eastAsia" w:ascii="Times New Roman" w:hAnsi="Times New Roman" w:eastAsia="黑体" w:cs="Times New Roman"/>
          <w:color w:val="auto"/>
          <w:sz w:val="32"/>
          <w:szCs w:val="32"/>
          <w:lang w:val="en-US" w:eastAsia="zh-CN"/>
        </w:rPr>
        <w:t xml:space="preserve">  </w:t>
      </w:r>
      <w:r>
        <w:rPr>
          <w:rFonts w:ascii="Times New Roman" w:hAnsi="Times New Roman" w:eastAsia="黑体" w:cs="Times New Roman"/>
          <w:color w:val="auto"/>
          <w:sz w:val="32"/>
          <w:szCs w:val="32"/>
        </w:rPr>
        <w:t>期</w:t>
      </w:r>
      <w:r>
        <w:rPr>
          <w:rFonts w:ascii="Times New Roman" w:hAnsi="Times New Roman" w:cs="Times New Roman"/>
          <w:color w:val="auto"/>
          <w:sz w:val="32"/>
          <w:szCs w:val="32"/>
        </w:rPr>
        <w:t>：</w:t>
      </w:r>
      <w:r>
        <w:rPr>
          <w:rFonts w:hint="eastAsia" w:ascii="Times New Roman" w:hAnsi="Times New Roman" w:eastAsia="黑体" w:cs="Times New Roman"/>
          <w:color w:val="auto"/>
          <w:sz w:val="32"/>
          <w:szCs w:val="32"/>
          <w:u w:val="single"/>
        </w:rPr>
        <w:t>2022</w:t>
      </w:r>
      <w:r>
        <w:rPr>
          <w:rFonts w:ascii="Times New Roman" w:hAnsi="Times New Roman" w:cs="Times New Roman"/>
          <w:color w:val="auto"/>
          <w:sz w:val="32"/>
          <w:szCs w:val="32"/>
        </w:rPr>
        <w:t>年</w:t>
      </w:r>
      <w:r>
        <w:rPr>
          <w:rFonts w:hint="eastAsia" w:ascii="Times New Roman" w:hAnsi="Times New Roman" w:cs="Times New Roman"/>
          <w:color w:val="auto"/>
          <w:sz w:val="32"/>
          <w:szCs w:val="32"/>
          <w:lang w:val="en-US" w:eastAsia="zh-CN"/>
        </w:rPr>
        <w:t xml:space="preserve"> </w:t>
      </w:r>
      <w:r>
        <w:rPr>
          <w:rFonts w:hint="eastAsia" w:ascii="Times New Roman" w:hAnsi="Times New Roman" w:cs="Times New Roman"/>
          <w:color w:val="auto"/>
          <w:sz w:val="32"/>
          <w:szCs w:val="32"/>
          <w:u w:val="single"/>
          <w:lang w:val="en-US" w:eastAsia="zh-CN"/>
        </w:rPr>
        <w:t xml:space="preserve"> </w:t>
      </w:r>
      <w:r>
        <w:rPr>
          <w:rFonts w:hint="eastAsia" w:ascii="Times New Roman" w:hAnsi="Times New Roman" w:eastAsia="黑体" w:cs="Times New Roman"/>
          <w:color w:val="auto"/>
          <w:sz w:val="32"/>
          <w:szCs w:val="32"/>
          <w:u w:val="single"/>
        </w:rPr>
        <w:t xml:space="preserve">4 </w:t>
      </w:r>
      <w:r>
        <w:rPr>
          <w:rFonts w:ascii="Times New Roman" w:hAnsi="Times New Roman" w:cs="Times New Roman"/>
          <w:color w:val="auto"/>
          <w:sz w:val="32"/>
          <w:szCs w:val="32"/>
        </w:rPr>
        <w:t>月</w:t>
      </w:r>
      <w:r>
        <w:rPr>
          <w:rFonts w:hint="eastAsia" w:ascii="Times New Roman" w:hAnsi="Times New Roman" w:cs="Times New Roman"/>
          <w:color w:val="auto"/>
          <w:sz w:val="32"/>
          <w:szCs w:val="32"/>
          <w:u w:val="single"/>
          <w:lang w:val="en-US" w:eastAsia="zh-CN"/>
        </w:rPr>
        <w:t>20</w:t>
      </w:r>
      <w:r>
        <w:rPr>
          <w:rFonts w:ascii="Times New Roman" w:hAnsi="Times New Roman" w:cs="Times New Roman"/>
          <w:color w:val="auto"/>
          <w:sz w:val="32"/>
          <w:szCs w:val="32"/>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ascii="黑体" w:hAnsi="黑体" w:eastAsia="黑体" w:cs="黑体"/>
              <w:sz w:val="44"/>
              <w:szCs w:val="44"/>
            </w:rPr>
          </w:pPr>
          <w:r>
            <w:rPr>
              <w:rFonts w:hint="eastAsia" w:ascii="黑体" w:hAnsi="黑体" w:eastAsia="黑体" w:cs="黑体"/>
              <w:sz w:val="44"/>
              <w:szCs w:val="44"/>
            </w:rPr>
            <w:t>目录</w:t>
          </w:r>
        </w:p>
        <w:p>
          <w:pPr>
            <w:pStyle w:val="20"/>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采购公告</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供应商须知</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评审办法</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合同内容</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采购需求及清单</w:t>
              </w:r>
            </w:sdtContent>
          </w:sdt>
          <w:r>
            <w:fldChar w:fldCharType="end"/>
          </w:r>
        </w:p>
        <w:p>
          <w:pPr>
            <w:pStyle w:val="20"/>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响应文件格式</w:t>
              </w:r>
            </w:sdtContent>
          </w:sdt>
          <w:r>
            <w:fldChar w:fldCharType="end"/>
          </w:r>
        </w:p>
        <w:p>
          <w:pPr>
            <w:pStyle w:val="20"/>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3"/>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4"/>
        <w:snapToGrid w:val="0"/>
        <w:spacing w:before="120" w:after="120" w:line="560" w:lineRule="exact"/>
        <w:ind w:firstLine="403"/>
        <w:rPr>
          <w:rFonts w:ascii="Times New Roman" w:hAnsi="Times New Roman" w:eastAsia="黑体" w:cs="Times New Roman"/>
          <w:bCs w:val="0"/>
          <w:sz w:val="22"/>
          <w:szCs w:val="15"/>
        </w:rPr>
      </w:pPr>
      <w:bookmarkStart w:id="2" w:name="_Toc4489_WPSOffice_Level2"/>
      <w:bookmarkStart w:id="3" w:name="_Toc10395_WPSOffice_Level2"/>
      <w:bookmarkStart w:id="4" w:name="_Toc6496_WPSOffice_Level2"/>
      <w:bookmarkStart w:id="5" w:name="_Toc24354_WPSOffice_Level2"/>
      <w:bookmarkStart w:id="6" w:name="_Toc525632585"/>
      <w:bookmarkStart w:id="7" w:name="_Toc13871"/>
      <w:bookmarkStart w:id="8" w:name="_Toc12765"/>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widowControl/>
        <w:jc w:val="center"/>
        <w:rPr>
          <w:rFonts w:ascii="宋体" w:hAnsi="宋体" w:eastAsia="宋体" w:cs="宋体"/>
          <w:b/>
          <w:bCs/>
          <w:color w:val="FF0000"/>
          <w:sz w:val="44"/>
          <w:szCs w:val="44"/>
        </w:rPr>
      </w:pPr>
      <w:r>
        <w:rPr>
          <w:rFonts w:ascii="Times New Roman" w:hAnsi="Times New Roman" w:cs="Times New Roman"/>
          <w:szCs w:val="22"/>
        </w:rPr>
        <w:t>1.1</w:t>
      </w:r>
      <w:r>
        <w:rPr>
          <w:rFonts w:ascii="Times New Roman" w:hAnsi="Times New Roman" w:cs="Times New Roman"/>
          <w:color w:val="FF0000"/>
          <w:szCs w:val="22"/>
        </w:rPr>
        <w:t xml:space="preserve"> </w:t>
      </w:r>
      <w:r>
        <w:rPr>
          <w:rFonts w:ascii="Times New Roman" w:hAnsi="Times New Roman" w:cs="Times New Roman"/>
          <w:color w:val="auto"/>
          <w:szCs w:val="22"/>
        </w:rPr>
        <w:t>项目名称：</w:t>
      </w:r>
      <w:r>
        <w:rPr>
          <w:rFonts w:hint="eastAsia" w:ascii="宋体" w:hAnsi="宋体" w:eastAsia="宋体" w:cs="宋体"/>
          <w:color w:val="auto"/>
          <w:szCs w:val="21"/>
          <w:u w:val="single"/>
        </w:rPr>
        <w:t xml:space="preserve"> 2022年度安徽交运集团汽车销售有限公司</w:t>
      </w:r>
      <w:r>
        <w:rPr>
          <w:rFonts w:hint="eastAsia" w:ascii="宋体" w:hAnsi="宋体" w:eastAsia="宋体" w:cs="宋体"/>
          <w:color w:val="auto"/>
          <w:szCs w:val="21"/>
          <w:u w:val="single"/>
          <w:lang w:val="en-US" w:eastAsia="zh-CN"/>
        </w:rPr>
        <w:t>4.20</w:t>
      </w:r>
      <w:r>
        <w:rPr>
          <w:rFonts w:hint="eastAsia" w:ascii="宋体" w:hAnsi="宋体" w:eastAsia="宋体" w:cs="宋体"/>
          <w:color w:val="auto"/>
          <w:szCs w:val="21"/>
          <w:u w:val="single"/>
        </w:rPr>
        <w:t>平板型清障车采购</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1.2 采购人：</w:t>
      </w:r>
      <w:r>
        <w:rPr>
          <w:rFonts w:hint="eastAsia" w:ascii="Times New Roman" w:hAnsi="Times New Roman" w:cs="Times New Roman"/>
          <w:szCs w:val="22"/>
          <w:u w:val="single"/>
        </w:rPr>
        <w:t>安徽交运集团汽车销售有限公司</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1.3 项目概况：</w:t>
      </w:r>
      <w:r>
        <w:rPr>
          <w:rFonts w:hint="eastAsia" w:ascii="Times New Roman" w:hAnsi="Times New Roman" w:cs="Times New Roman"/>
          <w:szCs w:val="22"/>
          <w:u w:val="single"/>
        </w:rPr>
        <w:t>采购8吨平板型清障车1台，进一步提升辖段清障救援能力</w:t>
      </w:r>
    </w:p>
    <w:p>
      <w:pPr>
        <w:pStyle w:val="4"/>
        <w:snapToGrid w:val="0"/>
        <w:spacing w:before="120" w:after="120" w:line="560" w:lineRule="exact"/>
        <w:ind w:firstLine="403"/>
        <w:rPr>
          <w:rFonts w:ascii="Times New Roman" w:hAnsi="Times New Roman" w:eastAsia="黑体" w:cs="Times New Roman"/>
          <w:bCs w:val="0"/>
          <w:sz w:val="22"/>
          <w:szCs w:val="15"/>
        </w:rPr>
      </w:pPr>
      <w:bookmarkStart w:id="9" w:name="_Toc10274"/>
      <w:bookmarkStart w:id="10" w:name="_Toc23266_WPSOffice_Level2"/>
      <w:bookmarkStart w:id="11" w:name="_Toc18453"/>
      <w:bookmarkStart w:id="12" w:name="_Toc8128_WPSOffice_Level2"/>
      <w:bookmarkStart w:id="13" w:name="_Toc17858_WPSOffice_Level2"/>
      <w:bookmarkStart w:id="14" w:name="_Toc18367_WPSOffice_Level2"/>
      <w:bookmarkStart w:id="15" w:name="_Toc525632586"/>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480" w:lineRule="auto"/>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snapToGrid w:val="0"/>
        <w:spacing w:line="480" w:lineRule="auto"/>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p>
    <w:p>
      <w:pPr>
        <w:snapToGrid w:val="0"/>
        <w:spacing w:line="480" w:lineRule="auto"/>
        <w:ind w:firstLine="420" w:firstLineChars="200"/>
        <w:rPr>
          <w:rFonts w:ascii="Times New Roman" w:hAnsi="Times New Roman" w:cs="Times New Roman"/>
          <w:szCs w:val="22"/>
          <w:u w:val="single"/>
        </w:rPr>
      </w:pPr>
      <w:r>
        <w:rPr>
          <w:rFonts w:ascii="Times New Roman" w:hAnsi="Times New Roman" w:cs="Times New Roman"/>
          <w:szCs w:val="22"/>
        </w:rPr>
        <w:t xml:space="preserve">2.3 </w:t>
      </w:r>
      <w:r>
        <w:rPr>
          <w:rFonts w:hint="eastAsia" w:ascii="Times New Roman" w:hAnsi="Times New Roman" w:cs="Times New Roman"/>
          <w:szCs w:val="22"/>
        </w:rPr>
        <w:t>采购范围：</w:t>
      </w:r>
      <w:r>
        <w:rPr>
          <w:rFonts w:hint="eastAsia" w:ascii="宋体" w:hAnsi="宋体" w:eastAsia="宋体" w:cs="宋体"/>
          <w:color w:val="auto"/>
          <w:szCs w:val="21"/>
          <w:u w:val="single"/>
        </w:rPr>
        <w:t>采购</w:t>
      </w:r>
      <w:r>
        <w:rPr>
          <w:rFonts w:hint="eastAsia" w:ascii="Times New Roman" w:hAnsi="Times New Roman" w:cs="Times New Roman"/>
          <w:color w:val="auto"/>
          <w:szCs w:val="22"/>
          <w:u w:val="single"/>
        </w:rPr>
        <w:t>平板型清障</w:t>
      </w:r>
      <w:r>
        <w:rPr>
          <w:rFonts w:ascii="Times New Roman" w:hAnsi="Times New Roman" w:cs="Times New Roman"/>
          <w:color w:val="auto"/>
          <w:szCs w:val="22"/>
          <w:u w:val="single"/>
        </w:rPr>
        <w:t>车采购</w:t>
      </w:r>
      <w:r>
        <w:rPr>
          <w:rFonts w:hint="eastAsia" w:ascii="Times New Roman" w:hAnsi="Times New Roman" w:cs="Times New Roman"/>
          <w:szCs w:val="22"/>
          <w:u w:val="single"/>
        </w:rPr>
        <w:t>，适用于高速公路故障车辆、事故车辆的清障救援</w:t>
      </w:r>
    </w:p>
    <w:p>
      <w:pPr>
        <w:snapToGrid w:val="0"/>
        <w:spacing w:line="480" w:lineRule="auto"/>
        <w:ind w:firstLine="420" w:firstLineChars="200"/>
        <w:rPr>
          <w:rFonts w:ascii="Times New Roman" w:hAnsi="Times New Roman" w:cs="Times New Roman"/>
          <w:szCs w:val="22"/>
          <w:u w:val="single"/>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hint="eastAsia" w:ascii="Times New Roman" w:hAnsi="Times New Roman" w:cs="Times New Roman"/>
          <w:szCs w:val="22"/>
          <w:u w:val="single"/>
        </w:rPr>
        <w:t xml:space="preserve">  /  </w:t>
      </w:r>
    </w:p>
    <w:p>
      <w:pPr>
        <w:snapToGrid w:val="0"/>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最高限价：</w:t>
      </w:r>
      <w:bookmarkEnd w:id="18"/>
      <w:r>
        <w:rPr>
          <w:rFonts w:hint="eastAsia" w:ascii="Times New Roman" w:hAnsi="Times New Roman" w:cs="Times New Roman"/>
          <w:szCs w:val="22"/>
          <w:u w:val="single"/>
        </w:rPr>
        <w:t>合同控制价40万元。</w:t>
      </w:r>
    </w:p>
    <w:p>
      <w:pPr>
        <w:snapToGrid w:val="0"/>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2.6 计划</w:t>
      </w:r>
      <w:r>
        <w:rPr>
          <w:rFonts w:hint="eastAsia" w:ascii="Times New Roman" w:hAnsi="Times New Roman" w:cs="Times New Roman"/>
          <w:szCs w:val="22"/>
        </w:rPr>
        <w:t>交货</w:t>
      </w:r>
      <w:r>
        <w:rPr>
          <w:rFonts w:ascii="Times New Roman" w:hAnsi="Times New Roman" w:cs="Times New Roman"/>
          <w:szCs w:val="22"/>
        </w:rPr>
        <w:t>期：</w:t>
      </w:r>
      <w:r>
        <w:rPr>
          <w:rFonts w:hint="eastAsia" w:cs="宋体"/>
          <w:szCs w:val="21"/>
          <w:u w:val="single"/>
        </w:rPr>
        <w:t>合同签订之日起30个日历日以内。</w:t>
      </w:r>
    </w:p>
    <w:p>
      <w:pPr>
        <w:pStyle w:val="2"/>
        <w:spacing w:line="560" w:lineRule="exact"/>
        <w:ind w:firstLine="420"/>
        <w:rPr>
          <w:rFonts w:ascii="Times New Roman" w:hAnsi="Times New Roman" w:cs="Times New Roman"/>
          <w:szCs w:val="22"/>
        </w:rPr>
      </w:pPr>
      <w:r>
        <w:rPr>
          <w:rFonts w:hint="eastAsia" w:ascii="Times New Roman" w:hAnsi="Times New Roman" w:cs="Times New Roman"/>
          <w:szCs w:val="22"/>
        </w:rPr>
        <w:t>2.7 每个供应商对合同包进行报价，报价需含销售差价。</w:t>
      </w:r>
    </w:p>
    <w:p>
      <w:pPr>
        <w:pStyle w:val="34"/>
        <w:spacing w:before="143"/>
        <w:ind w:right="1430"/>
        <w:jc w:val="left"/>
        <w:rPr>
          <w:sz w:val="24"/>
          <w:lang w:val="en-US"/>
        </w:rPr>
      </w:pPr>
      <w:bookmarkStart w:id="19" w:name="_Toc22379_WPSOffice_Level2"/>
      <w:bookmarkStart w:id="20" w:name="_Toc525632587"/>
      <w:bookmarkStart w:id="21" w:name="_Toc3714"/>
      <w:bookmarkStart w:id="22" w:name="_Toc1622_WPSOffice_Level2"/>
      <w:bookmarkStart w:id="23" w:name="_Toc6388"/>
      <w:bookmarkStart w:id="24" w:name="_Toc31673_WPSOffice_Level2"/>
      <w:bookmarkStart w:id="25" w:name="_Toc29516_WPSOffice_Level2"/>
      <w:r>
        <w:rPr>
          <w:rFonts w:hint="eastAsia"/>
          <w:sz w:val="24"/>
          <w:lang w:val="en-US"/>
        </w:rPr>
        <w:t>备注：</w:t>
      </w:r>
    </w:p>
    <w:p>
      <w:pPr>
        <w:spacing w:line="460" w:lineRule="exact"/>
        <w:jc w:val="left"/>
        <w:rPr>
          <w:sz w:val="24"/>
          <w:highlight w:val="green"/>
        </w:rPr>
      </w:pPr>
      <w:r>
        <w:rPr>
          <w:rFonts w:hint="eastAsia"/>
          <w:sz w:val="24"/>
          <w:highlight w:val="green"/>
        </w:rPr>
        <w:t>此项目：供应商须报价需含车辆购置税，销售差价（签订的厂家合同价为中标价--销售差价）检测、排污、照相、上牌等所有费用，商业保险（含交强险、车损险（≥车价）、第三者责任险(100万元)、自燃险、人员险10万元/人×座位数、不计免赔特约、玻璃破碎险。上牌时,须按需方指定地点和方式执行,选择的牌号也须经需方认可。需方配合提供公司相关证明及在相关表格加盖公章等）。</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sz w:val="22"/>
          <w:szCs w:val="15"/>
        </w:rPr>
        <w:tab/>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供应商应具备本次采购品牌车辆的销售资质，</w:t>
      </w:r>
      <w:r>
        <w:rPr>
          <w:rFonts w:ascii="Times New Roman" w:hAnsi="Times New Roman" w:cs="Times New Roman"/>
          <w:szCs w:val="22"/>
        </w:rPr>
        <w:t>具备独立法人资格，持有有效的营业执照；</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②</w:t>
      </w:r>
      <w:r>
        <w:rPr>
          <w:rFonts w:hint="eastAsia" w:ascii="Times New Roman" w:hAnsi="Times New Roman" w:cs="Times New Roman"/>
          <w:szCs w:val="22"/>
        </w:rPr>
        <w:t>供应商应为本次采购品牌车辆的制造商或代理商，代理商应具备</w:t>
      </w:r>
      <w:r>
        <w:rPr>
          <w:rFonts w:hint="eastAsia" w:ascii="Times New Roman" w:hAnsi="Times New Roman" w:cs="Times New Roman"/>
          <w:szCs w:val="22"/>
          <w:u w:val="single"/>
        </w:rPr>
        <w:t>制造商直接授予的代理授权书</w:t>
      </w:r>
      <w:r>
        <w:rPr>
          <w:rFonts w:hint="eastAsia" w:ascii="Times New Roman" w:hAnsi="Times New Roman" w:cs="Times New Roman"/>
          <w:szCs w:val="22"/>
        </w:rPr>
        <w:t>_。</w:t>
      </w:r>
    </w:p>
    <w:p>
      <w:pPr>
        <w:numPr>
          <w:ilvl w:val="255"/>
          <w:numId w:val="0"/>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③所投产品应为经过国家行业主管部门认证的定型产品，列入《中华人民共和国发改委车辆生产企业及产品公告》，产品具备国家3C认证和环保认证；</w:t>
      </w:r>
    </w:p>
    <w:p>
      <w:pPr>
        <w:pStyle w:val="10"/>
        <w:widowControl/>
        <w:shd w:val="clear" w:color="auto" w:fill="FFFFFF"/>
        <w:spacing w:beforeAutospacing="0" w:afterAutospacing="0" w:line="560" w:lineRule="exact"/>
        <w:ind w:firstLine="420"/>
        <w:rPr>
          <w:rFonts w:asciiTheme="minorEastAsia" w:hAnsiTheme="minorEastAsia" w:cstheme="minorEastAsia"/>
          <w:sz w:val="21"/>
          <w:szCs w:val="21"/>
        </w:rPr>
      </w:pPr>
      <w:r>
        <w:rPr>
          <w:rFonts w:hint="eastAsia" w:ascii="Times New Roman" w:hAnsi="Times New Roman"/>
          <w:sz w:val="21"/>
          <w:szCs w:val="22"/>
        </w:rPr>
        <w:t>（2）</w:t>
      </w:r>
      <w:r>
        <w:rPr>
          <w:rFonts w:hint="eastAsia" w:asciiTheme="minorEastAsia" w:hAnsiTheme="minorEastAsia" w:cstheme="minorEastAsia"/>
          <w:sz w:val="21"/>
          <w:szCs w:val="21"/>
          <w:shd w:val="clear" w:color="auto" w:fill="FFFFFF"/>
        </w:rPr>
        <w:t>业绩最低要求：</w:t>
      </w:r>
    </w:p>
    <w:p>
      <w:pPr>
        <w:snapToGrid w:val="0"/>
        <w:spacing w:line="440" w:lineRule="exact"/>
        <w:ind w:firstLine="420" w:firstLineChars="200"/>
        <w:rPr>
          <w:rFonts w:ascii="Times New Roman" w:hAnsi="Times New Roman" w:cs="Times New Roman"/>
          <w:color w:val="auto"/>
          <w:szCs w:val="22"/>
          <w:highlight w:val="green"/>
        </w:rPr>
      </w:pPr>
      <w:r>
        <w:rPr>
          <w:rFonts w:ascii="Times New Roman" w:hAnsi="Times New Roman" w:cs="Times New Roman"/>
          <w:szCs w:val="22"/>
          <w:highlight w:val="green"/>
        </w:rPr>
        <w:t>近三年（指</w:t>
      </w:r>
      <w:r>
        <w:rPr>
          <w:rFonts w:hint="eastAsia" w:ascii="Times New Roman" w:hAnsi="Times New Roman" w:cs="Times New Roman"/>
          <w:szCs w:val="22"/>
          <w:highlight w:val="green"/>
        </w:rPr>
        <w:t>2019</w:t>
      </w:r>
      <w:r>
        <w:rPr>
          <w:rFonts w:ascii="Times New Roman" w:hAnsi="Times New Roman" w:cs="Times New Roman"/>
          <w:szCs w:val="22"/>
          <w:highlight w:val="green"/>
        </w:rPr>
        <w:t>年</w:t>
      </w:r>
      <w:r>
        <w:rPr>
          <w:rFonts w:hint="eastAsia" w:ascii="Times New Roman" w:hAnsi="Times New Roman" w:cs="Times New Roman"/>
          <w:szCs w:val="22"/>
          <w:highlight w:val="green"/>
        </w:rPr>
        <w:t>4</w:t>
      </w:r>
      <w:r>
        <w:rPr>
          <w:rFonts w:ascii="Times New Roman" w:hAnsi="Times New Roman" w:cs="Times New Roman"/>
          <w:szCs w:val="22"/>
          <w:highlight w:val="green"/>
        </w:rPr>
        <w:t>月</w:t>
      </w:r>
      <w:r>
        <w:rPr>
          <w:rFonts w:hint="eastAsia" w:ascii="Times New Roman" w:hAnsi="Times New Roman" w:cs="Times New Roman"/>
          <w:szCs w:val="22"/>
          <w:highlight w:val="green"/>
        </w:rPr>
        <w:t>1</w:t>
      </w:r>
      <w:r>
        <w:rPr>
          <w:rFonts w:ascii="Times New Roman" w:hAnsi="Times New Roman" w:cs="Times New Roman"/>
          <w:szCs w:val="22"/>
          <w:highlight w:val="green"/>
        </w:rPr>
        <w:t>日至响应文件递交截止日期，以</w:t>
      </w:r>
      <w:r>
        <w:rPr>
          <w:rFonts w:hint="eastAsia" w:ascii="Times New Roman" w:hAnsi="Times New Roman" w:cs="Times New Roman"/>
          <w:szCs w:val="22"/>
          <w:highlight w:val="green"/>
        </w:rPr>
        <w:t>合同签订</w:t>
      </w:r>
      <w:r>
        <w:rPr>
          <w:rFonts w:ascii="Times New Roman" w:hAnsi="Times New Roman" w:cs="Times New Roman"/>
          <w:szCs w:val="22"/>
          <w:highlight w:val="green"/>
        </w:rPr>
        <w:t>时间为准）</w:t>
      </w:r>
      <w:r>
        <w:rPr>
          <w:rFonts w:hint="eastAsia" w:ascii="Times New Roman" w:hAnsi="Times New Roman" w:cs="Times New Roman"/>
          <w:szCs w:val="22"/>
          <w:highlight w:val="green"/>
        </w:rPr>
        <w:t>在</w:t>
      </w:r>
      <w:r>
        <w:rPr>
          <w:rFonts w:hint="eastAsia" w:ascii="Times New Roman" w:hAnsi="Times New Roman" w:cs="Times New Roman"/>
          <w:color w:val="auto"/>
          <w:szCs w:val="22"/>
          <w:highlight w:val="green"/>
        </w:rPr>
        <w:t>安徽省内</w:t>
      </w:r>
      <w:r>
        <w:rPr>
          <w:rFonts w:ascii="Times New Roman" w:hAnsi="Times New Roman" w:cs="Times New Roman"/>
          <w:color w:val="auto"/>
          <w:szCs w:val="22"/>
          <w:highlight w:val="green"/>
        </w:rPr>
        <w:t>有4</w:t>
      </w:r>
      <w:r>
        <w:rPr>
          <w:rFonts w:hint="eastAsia" w:ascii="Times New Roman" w:hAnsi="Times New Roman" w:cs="Times New Roman"/>
          <w:color w:val="auto"/>
          <w:szCs w:val="22"/>
          <w:highlight w:val="green"/>
        </w:rPr>
        <w:t>台同类车型</w:t>
      </w:r>
      <w:r>
        <w:rPr>
          <w:rFonts w:ascii="Times New Roman" w:hAnsi="Times New Roman" w:cs="Times New Roman"/>
          <w:color w:val="auto"/>
          <w:szCs w:val="22"/>
          <w:highlight w:val="green"/>
        </w:rPr>
        <w:t>的供货业绩。</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2"/>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snapToGrid w:val="0"/>
        <w:spacing w:line="440" w:lineRule="exact"/>
        <w:ind w:firstLine="420" w:firstLineChars="200"/>
      </w:pPr>
      <w:r>
        <w:rPr>
          <w:rFonts w:hint="eastAsia" w:ascii="Times New Roman" w:hAnsi="Times New Roman" w:cs="Times New Roman"/>
          <w:szCs w:val="22"/>
        </w:rPr>
        <w:t>3.4 同一品牌同一型号产品只接受一个供应商参加本次询比，同一品牌同一型号产品的制造商及代理商，或者同一品牌同一型号产品的多个代理商(多于1个)不得同时参加本项目同一个合同包询比，否则相关响应文件均将被否决。（如有）</w:t>
      </w:r>
    </w:p>
    <w:p>
      <w:pPr>
        <w:pStyle w:val="2"/>
      </w:pPr>
    </w:p>
    <w:p>
      <w:pPr>
        <w:pStyle w:val="4"/>
        <w:snapToGrid w:val="0"/>
        <w:spacing w:before="120" w:after="120" w:line="560" w:lineRule="exact"/>
        <w:ind w:firstLine="403"/>
        <w:rPr>
          <w:rFonts w:ascii="Times New Roman" w:hAnsi="Times New Roman" w:eastAsia="黑体" w:cs="Times New Roman"/>
          <w:bCs w:val="0"/>
          <w:sz w:val="22"/>
          <w:szCs w:val="15"/>
        </w:rPr>
      </w:pPr>
      <w:bookmarkStart w:id="26" w:name="_Toc1994"/>
      <w:bookmarkStart w:id="27" w:name="_Toc2996_WPSOffice_Level2"/>
      <w:bookmarkStart w:id="28" w:name="_Toc25666_WPSOffice_Level2"/>
      <w:bookmarkStart w:id="29" w:name="_Toc525632588"/>
      <w:bookmarkStart w:id="30" w:name="_Toc29452_WPSOffice_Level2"/>
      <w:bookmarkStart w:id="31" w:name="_Toc4751"/>
      <w:bookmarkStart w:id="32" w:name="_Toc4109_WPSOffice_Level2"/>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4"/>
        <w:snapToGrid w:val="0"/>
        <w:spacing w:before="120" w:after="120" w:line="560" w:lineRule="exact"/>
        <w:ind w:firstLine="403"/>
        <w:rPr>
          <w:rFonts w:ascii="Times New Roman" w:hAnsi="Times New Roman" w:eastAsia="黑体" w:cs="Times New Roman"/>
          <w:bCs w:val="0"/>
          <w:sz w:val="22"/>
          <w:szCs w:val="15"/>
        </w:rPr>
      </w:pPr>
      <w:bookmarkStart w:id="33" w:name="_Toc726"/>
      <w:bookmarkStart w:id="34" w:name="_Toc525632589"/>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hint="eastAsia" w:ascii="Times New Roman" w:hAnsi="Times New Roman" w:cs="Times New Roman"/>
          <w:color w:val="auto"/>
          <w:szCs w:val="22"/>
          <w:u w:val="single"/>
        </w:rPr>
        <w:t>2022</w:t>
      </w:r>
      <w:r>
        <w:rPr>
          <w:rFonts w:ascii="Times New Roman" w:hAnsi="Times New Roman" w:cs="Times New Roman"/>
          <w:color w:val="auto"/>
          <w:szCs w:val="22"/>
        </w:rPr>
        <w:t>年</w:t>
      </w:r>
      <w:r>
        <w:rPr>
          <w:rFonts w:hint="eastAsia" w:ascii="Times New Roman" w:hAnsi="Times New Roman" w:cs="Times New Roman"/>
          <w:color w:val="auto"/>
          <w:szCs w:val="22"/>
          <w:u w:val="single"/>
        </w:rPr>
        <w:t xml:space="preserve"> 4 </w:t>
      </w:r>
      <w:r>
        <w:rPr>
          <w:rFonts w:ascii="Times New Roman" w:hAnsi="Times New Roman" w:cs="Times New Roman"/>
          <w:color w:val="auto"/>
          <w:szCs w:val="22"/>
        </w:rPr>
        <w:t>月</w:t>
      </w:r>
      <w:r>
        <w:rPr>
          <w:rFonts w:hint="eastAsia" w:ascii="Times New Roman" w:hAnsi="Times New Roman" w:cs="Times New Roman"/>
          <w:color w:val="auto"/>
          <w:szCs w:val="22"/>
          <w:u w:val="single"/>
        </w:rPr>
        <w:t xml:space="preserve"> </w:t>
      </w:r>
      <w:r>
        <w:rPr>
          <w:rFonts w:hint="eastAsia" w:ascii="Times New Roman" w:hAnsi="Times New Roman" w:cs="Times New Roman"/>
          <w:color w:val="auto"/>
          <w:szCs w:val="22"/>
          <w:u w:val="single"/>
          <w:lang w:val="en-US" w:eastAsia="zh-CN"/>
        </w:rPr>
        <w:t>27</w:t>
      </w:r>
      <w:r>
        <w:rPr>
          <w:rFonts w:hint="eastAsia" w:ascii="Times New Roman" w:hAnsi="Times New Roman" w:cs="Times New Roman"/>
          <w:color w:val="auto"/>
          <w:szCs w:val="22"/>
          <w:u w:val="single"/>
        </w:rPr>
        <w:t xml:space="preserve"> </w:t>
      </w:r>
      <w:r>
        <w:rPr>
          <w:rFonts w:ascii="Times New Roman" w:hAnsi="Times New Roman" w:cs="Times New Roman"/>
          <w:color w:val="auto"/>
          <w:szCs w:val="22"/>
        </w:rPr>
        <w:t>日</w:t>
      </w:r>
      <w:r>
        <w:rPr>
          <w:rFonts w:hint="eastAsia" w:ascii="Times New Roman" w:hAnsi="Times New Roman" w:cs="Times New Roman"/>
          <w:color w:val="auto"/>
          <w:szCs w:val="22"/>
          <w:u w:val="single"/>
        </w:rPr>
        <w:t>9</w:t>
      </w:r>
      <w:r>
        <w:rPr>
          <w:rFonts w:ascii="Times New Roman" w:hAnsi="Times New Roman" w:cs="Times New Roman"/>
          <w:color w:val="auto"/>
          <w:szCs w:val="22"/>
        </w:rPr>
        <w:t>时</w:t>
      </w:r>
      <w:r>
        <w:rPr>
          <w:rFonts w:hint="eastAsia" w:ascii="Times New Roman" w:hAnsi="Times New Roman" w:cs="Times New Roman"/>
          <w:color w:val="auto"/>
          <w:szCs w:val="22"/>
          <w:u w:val="single"/>
        </w:rPr>
        <w:t>30</w:t>
      </w:r>
      <w:r>
        <w:rPr>
          <w:rFonts w:ascii="Times New Roman" w:hAnsi="Times New Roman" w:cs="Times New Roman"/>
          <w:color w:val="auto"/>
          <w:szCs w:val="22"/>
        </w:rPr>
        <w:t>分，</w:t>
      </w:r>
      <w:r>
        <w:rPr>
          <w:rFonts w:ascii="Times New Roman" w:hAnsi="Times New Roman" w:cs="Times New Roman"/>
          <w:szCs w:val="22"/>
        </w:rPr>
        <w:t>供应商的法定代表人或其授权代理人应于截止时间前将响应文件</w:t>
      </w:r>
      <w:r>
        <w:rPr>
          <w:rFonts w:hint="eastAsia" w:ascii="Times New Roman" w:hAnsi="Times New Roman" w:cs="Times New Roman"/>
          <w:szCs w:val="22"/>
        </w:rPr>
        <w:t>递交至</w:t>
      </w:r>
      <w:r>
        <w:rPr>
          <w:rFonts w:hint="eastAsia" w:ascii="Times New Roman" w:hAnsi="Times New Roman" w:cs="Times New Roman"/>
          <w:szCs w:val="22"/>
          <w:u w:val="single"/>
        </w:rPr>
        <w:t>合肥市胜利路35号，交通饭店三楼汽车销售有限公司</w:t>
      </w:r>
      <w:r>
        <w:rPr>
          <w:rFonts w:ascii="Times New Roman" w:hAnsi="Times New Roman" w:cs="Times New Roman"/>
          <w:szCs w:val="22"/>
        </w:rPr>
        <w:t>（地点）。</w:t>
      </w:r>
    </w:p>
    <w:p>
      <w:pPr>
        <w:pStyle w:val="4"/>
        <w:snapToGrid w:val="0"/>
        <w:spacing w:before="120" w:after="120" w:line="560" w:lineRule="exact"/>
        <w:ind w:firstLine="403"/>
        <w:rPr>
          <w:rFonts w:ascii="Times New Roman" w:hAnsi="Times New Roman" w:eastAsia="黑体" w:cs="Times New Roman"/>
          <w:bCs w:val="0"/>
          <w:sz w:val="22"/>
          <w:szCs w:val="15"/>
        </w:rPr>
      </w:pPr>
      <w:bookmarkStart w:id="35" w:name="_Toc525632591"/>
      <w:bookmarkStart w:id="36" w:name="_Toc22719"/>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w:t>
      </w:r>
      <w:r>
        <w:rPr>
          <w:rFonts w:hint="eastAsia" w:ascii="Times New Roman" w:hAnsi="Times New Roman" w:cs="Times New Roman"/>
          <w:szCs w:val="22"/>
          <w:u w:val="single"/>
        </w:rPr>
        <w:t>交通饭店三楼会议室</w:t>
      </w:r>
      <w:r>
        <w:rPr>
          <w:rFonts w:ascii="Times New Roman" w:hAnsi="Times New Roman" w:cs="Times New Roman"/>
          <w:szCs w:val="22"/>
        </w:rPr>
        <w:t>（地点）组织进行响应文件的启封。供应商的法定代表人或授权代理人应携带本人身份证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4"/>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snapToGrid w:val="0"/>
        <w:spacing w:line="560" w:lineRule="exact"/>
        <w:ind w:firstLine="420" w:firstLineChars="200"/>
        <w:rPr>
          <w:rFonts w:ascii="Times New Roman" w:hAnsi="Times New Roman"/>
        </w:rPr>
      </w:pPr>
      <w:r>
        <w:rPr>
          <w:rFonts w:hint="eastAsia" w:ascii="Times New Roman" w:hAnsi="Times New Roman"/>
        </w:rPr>
        <w:t>响应保证金的金额：壹万元整（￥10000.00元）</w:t>
      </w:r>
    </w:p>
    <w:p>
      <w:pPr>
        <w:snapToGrid w:val="0"/>
        <w:spacing w:line="560" w:lineRule="exact"/>
        <w:ind w:firstLine="420" w:firstLineChars="200"/>
        <w:rPr>
          <w:rFonts w:ascii="Times New Roman" w:hAnsi="Times New Roman"/>
        </w:rPr>
      </w:pPr>
      <w:r>
        <w:rPr>
          <w:rFonts w:hint="eastAsia" w:ascii="Times New Roman" w:hAnsi="Times New Roman"/>
        </w:rPr>
        <w:t>响应保证金的递交形式：响应保证金必须由报价人的基本账户一次性汇入本公告所示账号，</w:t>
      </w:r>
      <w:r>
        <w:rPr>
          <w:rFonts w:hint="eastAsia" w:ascii="Times New Roman" w:hAnsi="Times New Roman"/>
          <w:color w:val="auto"/>
        </w:rPr>
        <w:t>并在2022年4月</w:t>
      </w:r>
      <w:r>
        <w:rPr>
          <w:rFonts w:hint="eastAsia" w:ascii="Times New Roman" w:hAnsi="Times New Roman"/>
          <w:color w:val="auto"/>
          <w:lang w:val="en-US" w:eastAsia="zh-CN"/>
        </w:rPr>
        <w:t>26</w:t>
      </w:r>
      <w:r>
        <w:rPr>
          <w:rFonts w:hint="eastAsia" w:ascii="Times New Roman" w:hAnsi="Times New Roman"/>
          <w:color w:val="auto"/>
        </w:rPr>
        <w:t>日16：00时前到账，</w:t>
      </w:r>
      <w:r>
        <w:rPr>
          <w:rFonts w:hint="eastAsia" w:ascii="Times New Roman" w:hAnsi="Times New Roman"/>
        </w:rPr>
        <w:t>否则无效。如果成为采购人将自动转为履约保证金，交车后三个工作日退回，其他在询比结果公示后三个工作日退回。</w:t>
      </w:r>
    </w:p>
    <w:p>
      <w:pPr>
        <w:snapToGrid w:val="0"/>
        <w:spacing w:line="560" w:lineRule="exact"/>
        <w:ind w:firstLine="420" w:firstLineChars="200"/>
        <w:rPr>
          <w:rFonts w:ascii="Times New Roman" w:hAnsi="Times New Roman"/>
        </w:rPr>
      </w:pPr>
      <w:r>
        <w:rPr>
          <w:rFonts w:hint="eastAsia" w:ascii="Times New Roman" w:hAnsi="Times New Roman"/>
        </w:rPr>
        <w:t>递交账号：</w:t>
      </w:r>
    </w:p>
    <w:p>
      <w:pPr>
        <w:snapToGrid w:val="0"/>
        <w:spacing w:line="560" w:lineRule="exact"/>
        <w:ind w:firstLine="420" w:firstLineChars="200"/>
        <w:rPr>
          <w:rFonts w:ascii="Times New Roman" w:hAnsi="Times New Roman"/>
        </w:rPr>
      </w:pPr>
      <w:r>
        <w:rPr>
          <w:rFonts w:hint="eastAsia" w:ascii="Times New Roman" w:hAnsi="Times New Roman"/>
        </w:rPr>
        <w:t>户名：安徽交运集团汽车销售有限公司</w:t>
      </w:r>
      <w:r>
        <w:rPr>
          <w:rFonts w:hint="eastAsia" w:ascii="Times New Roman" w:hAnsi="Times New Roman"/>
        </w:rPr>
        <w:tab/>
      </w:r>
    </w:p>
    <w:p>
      <w:pPr>
        <w:snapToGrid w:val="0"/>
        <w:spacing w:line="560" w:lineRule="exact"/>
        <w:ind w:firstLine="420" w:firstLineChars="200"/>
        <w:rPr>
          <w:rFonts w:ascii="Times New Roman" w:hAnsi="Times New Roman"/>
        </w:rPr>
      </w:pPr>
      <w:r>
        <w:rPr>
          <w:rFonts w:hint="eastAsia" w:ascii="Times New Roman" w:hAnsi="Times New Roman"/>
        </w:rPr>
        <w:t>账号：</w:t>
      </w:r>
      <w:r>
        <w:rPr>
          <w:rFonts w:ascii="Times New Roman" w:hAnsi="Times New Roman"/>
        </w:rPr>
        <w:t>1024201021000343519</w:t>
      </w:r>
    </w:p>
    <w:p>
      <w:pPr>
        <w:snapToGrid w:val="0"/>
        <w:spacing w:line="560" w:lineRule="exact"/>
        <w:ind w:firstLine="420" w:firstLineChars="200"/>
        <w:rPr>
          <w:rFonts w:ascii="Times New Roman" w:hAnsi="Times New Roman"/>
        </w:rPr>
      </w:pPr>
      <w:r>
        <w:rPr>
          <w:rFonts w:hint="eastAsia" w:ascii="Times New Roman" w:hAnsi="Times New Roman"/>
        </w:rPr>
        <w:t>开户银行：徽商银行合肥新站支行</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4"/>
        <w:snapToGrid w:val="0"/>
        <w:spacing w:before="120" w:after="120" w:line="560" w:lineRule="exact"/>
        <w:ind w:firstLine="403"/>
        <w:rPr>
          <w:rFonts w:ascii="Times New Roman" w:hAnsi="Times New Roman" w:eastAsia="黑体" w:cs="Times New Roman"/>
          <w:bCs w:val="0"/>
          <w:sz w:val="22"/>
          <w:szCs w:val="15"/>
        </w:rPr>
      </w:pPr>
      <w:bookmarkStart w:id="37" w:name="_Toc8501"/>
      <w:bookmarkStart w:id="38" w:name="_Toc321_WPSOffice_Level2"/>
      <w:bookmarkStart w:id="39" w:name="_Toc20572_WPSOffice_Level2"/>
      <w:bookmarkStart w:id="40" w:name="_Toc26829"/>
      <w:bookmarkStart w:id="41" w:name="_Toc28571_WPSOffice_Level2"/>
      <w:bookmarkStart w:id="42" w:name="_Toc525632592"/>
      <w:bookmarkStart w:id="43" w:name="_Toc14943_WPSOffice_Level2"/>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采购人：</w:t>
      </w:r>
      <w:r>
        <w:rPr>
          <w:rFonts w:hint="eastAsia" w:ascii="Times New Roman" w:hAnsi="Times New Roman" w:cs="Times New Roman"/>
          <w:szCs w:val="22"/>
          <w:u w:val="single"/>
        </w:rPr>
        <w:t>安徽交运集团汽车销售有限公司</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地址：</w:t>
      </w:r>
      <w:r>
        <w:rPr>
          <w:rFonts w:hint="eastAsia" w:ascii="Times New Roman" w:hAnsi="Times New Roman" w:cs="Times New Roman"/>
          <w:szCs w:val="22"/>
          <w:u w:val="single"/>
        </w:rPr>
        <w:t>合肥市胜利路35号交通饭店</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hint="eastAsia" w:ascii="Times New Roman" w:hAnsi="Times New Roman" w:cs="Times New Roman"/>
          <w:szCs w:val="22"/>
          <w:u w:val="single"/>
        </w:rPr>
        <w:t>230011</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联系人：</w:t>
      </w:r>
      <w:r>
        <w:rPr>
          <w:rFonts w:hint="eastAsia" w:ascii="Times New Roman" w:hAnsi="Times New Roman" w:cs="Times New Roman"/>
          <w:szCs w:val="22"/>
          <w:u w:val="single"/>
        </w:rPr>
        <w:t>张经理</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电话：</w:t>
      </w:r>
      <w:r>
        <w:rPr>
          <w:rFonts w:hint="eastAsia" w:ascii="Times New Roman" w:hAnsi="Times New Roman" w:cs="Times New Roman"/>
          <w:szCs w:val="22"/>
          <w:u w:val="single"/>
        </w:rPr>
        <w:t xml:space="preserve">13956910769/0551-64299058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电子邮箱：</w:t>
      </w:r>
      <w:r>
        <w:rPr>
          <w:rFonts w:hint="eastAsia" w:ascii="Times New Roman" w:hAnsi="Times New Roman" w:cs="Times New Roman"/>
          <w:szCs w:val="22"/>
          <w:u w:val="single"/>
        </w:rPr>
        <w:t>ahjyxs@163.com</w:t>
      </w:r>
    </w:p>
    <w:p>
      <w:pPr>
        <w:pStyle w:val="21"/>
        <w:jc w:val="center"/>
        <w:rPr>
          <w:rFonts w:hint="default" w:ascii="Times New Roman" w:hAnsi="Times New Roman"/>
          <w:color w:val="auto"/>
          <w:sz w:val="21"/>
          <w:szCs w:val="22"/>
        </w:rPr>
      </w:pPr>
    </w:p>
    <w:p>
      <w:pPr>
        <w:pStyle w:val="21"/>
        <w:jc w:val="center"/>
        <w:rPr>
          <w:rFonts w:hint="default" w:ascii="Times New Roman" w:hAnsi="Times New Roman"/>
          <w:color w:val="auto"/>
          <w:szCs w:val="28"/>
        </w:rPr>
      </w:pPr>
      <w:r>
        <w:rPr>
          <w:rFonts w:ascii="Times New Roman" w:hAnsi="Times New Roman"/>
          <w:color w:val="auto"/>
          <w:sz w:val="21"/>
          <w:szCs w:val="22"/>
        </w:rPr>
        <w:t xml:space="preserve">                                                             2022</w:t>
      </w:r>
      <w:r>
        <w:rPr>
          <w:rFonts w:hint="default" w:ascii="Times New Roman" w:hAnsi="Times New Roman"/>
          <w:color w:val="auto"/>
          <w:sz w:val="21"/>
          <w:szCs w:val="22"/>
        </w:rPr>
        <w:t>年</w:t>
      </w:r>
      <w:r>
        <w:rPr>
          <w:rFonts w:hint="eastAsia" w:ascii="Times New Roman" w:hAnsi="Times New Roman"/>
          <w:color w:val="auto"/>
          <w:sz w:val="21"/>
          <w:szCs w:val="22"/>
          <w:lang w:val="en-US" w:eastAsia="zh-CN"/>
        </w:rPr>
        <w:t xml:space="preserve"> </w:t>
      </w:r>
      <w:r>
        <w:rPr>
          <w:rFonts w:ascii="Times New Roman" w:hAnsi="Times New Roman"/>
          <w:color w:val="auto"/>
          <w:sz w:val="21"/>
          <w:szCs w:val="22"/>
        </w:rPr>
        <w:t>4</w:t>
      </w:r>
      <w:r>
        <w:rPr>
          <w:rFonts w:hint="eastAsia" w:ascii="Times New Roman" w:hAnsi="Times New Roman"/>
          <w:color w:val="auto"/>
          <w:sz w:val="21"/>
          <w:szCs w:val="22"/>
          <w:lang w:val="en-US" w:eastAsia="zh-CN"/>
        </w:rPr>
        <w:t xml:space="preserve"> </w:t>
      </w:r>
      <w:r>
        <w:rPr>
          <w:rFonts w:hint="default" w:ascii="Times New Roman" w:hAnsi="Times New Roman"/>
          <w:color w:val="auto"/>
          <w:sz w:val="21"/>
          <w:szCs w:val="22"/>
        </w:rPr>
        <w:t>月</w:t>
      </w:r>
      <w:r>
        <w:rPr>
          <w:rFonts w:hint="eastAsia" w:ascii="Times New Roman" w:hAnsi="Times New Roman"/>
          <w:color w:val="auto"/>
          <w:sz w:val="21"/>
          <w:szCs w:val="22"/>
          <w:lang w:val="en-US" w:eastAsia="zh-CN"/>
        </w:rPr>
        <w:t xml:space="preserve"> 20 </w:t>
      </w:r>
      <w:r>
        <w:rPr>
          <w:rFonts w:hint="default" w:ascii="Times New Roman" w:hAnsi="Times New Roman"/>
          <w:color w:val="auto"/>
          <w:sz w:val="21"/>
          <w:szCs w:val="22"/>
        </w:rPr>
        <w:t>日</w:t>
      </w:r>
    </w:p>
    <w:p>
      <w:pPr>
        <w:rPr>
          <w:rFonts w:ascii="Times New Roman" w:hAnsi="Times New Roman" w:cs="Times New Roman"/>
          <w:color w:val="auto"/>
          <w:sz w:val="24"/>
          <w:szCs w:val="28"/>
        </w:rPr>
      </w:pPr>
      <w:r>
        <w:rPr>
          <w:rFonts w:ascii="Times New Roman" w:hAnsi="Times New Roman" w:cs="Times New Roman"/>
          <w:color w:val="auto"/>
          <w:sz w:val="24"/>
          <w:szCs w:val="28"/>
        </w:rPr>
        <w:br w:type="page"/>
      </w:r>
    </w:p>
    <w:p>
      <w:pPr>
        <w:pStyle w:val="3"/>
        <w:numPr>
          <w:ilvl w:val="0"/>
          <w:numId w:val="0"/>
        </w:numPr>
        <w:spacing w:before="312" w:after="312"/>
        <w:rPr>
          <w:rFonts w:ascii="Times New Roman" w:hAnsi="Times New Roman" w:eastAsia="宋体" w:cs="Times New Roman"/>
        </w:rPr>
      </w:pPr>
      <w:r>
        <w:rPr>
          <w:rFonts w:hint="eastAsia" w:ascii="Times New Roman" w:hAnsi="Times New Roman" w:eastAsia="宋体" w:cs="Times New Roman"/>
        </w:rPr>
        <w:t>第二章</w:t>
      </w:r>
      <w:r>
        <w:rPr>
          <w:rFonts w:ascii="Times New Roman" w:hAnsi="Times New Roman" w:eastAsia="宋体" w:cs="Times New Roman"/>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highlight w:val="green"/>
          <w:u w:val="single"/>
        </w:rPr>
      </w:pPr>
      <w:r>
        <w:rPr>
          <w:rFonts w:hint="eastAsia" w:ascii="宋体" w:hAnsi="宋体" w:eastAsia="宋体" w:cs="宋体"/>
          <w:szCs w:val="21"/>
        </w:rPr>
        <w:t>本合同包的质量要求：</w:t>
      </w:r>
      <w:r>
        <w:rPr>
          <w:rFonts w:hint="eastAsia" w:ascii="宋体" w:hAnsi="宋体" w:eastAsia="宋体" w:cs="宋体"/>
          <w:szCs w:val="21"/>
          <w:highlight w:val="green"/>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供应商资格要求</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的资质条件、能力和信誉：见第一章</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采购公告。</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其他</w:t>
      </w:r>
      <w:r>
        <w:rPr>
          <w:rFonts w:hint="eastAsia" w:ascii="Times New Roman" w:hAnsi="Times New Roman" w:cs="Times New Roman"/>
          <w:szCs w:val="21"/>
        </w:rPr>
        <w:t>要求：</w:t>
      </w:r>
      <w:r>
        <w:rPr>
          <w:rFonts w:hint="eastAsia" w:ascii="Times New Roman" w:hAnsi="Times New Roman" w:cs="Times New Roman"/>
          <w:szCs w:val="21"/>
          <w:u w:val="single"/>
        </w:rPr>
        <w:t>无</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分包</w:t>
      </w:r>
    </w:p>
    <w:p>
      <w:pPr>
        <w:spacing w:line="440" w:lineRule="exact"/>
        <w:ind w:firstLine="420"/>
        <w:rPr>
          <w:rFonts w:ascii="Times New Roman" w:hAnsi="Times New Roman" w:cs="Times New Roman"/>
        </w:rPr>
      </w:pPr>
      <w:r>
        <w:rPr>
          <w:rFonts w:hint="eastAsia" w:ascii="Times New Roman" w:hAnsi="Times New Roman" w:cs="Times New Roman"/>
        </w:rPr>
        <w:t>不允许分包。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00" w:lineRule="atLeast"/>
        <w:ind w:firstLine="420"/>
        <w:rPr>
          <w:rFonts w:ascii="Times New Roman" w:hAnsi="Times New Roman" w:cs="Times New Roman"/>
        </w:rPr>
      </w:pPr>
      <w:r>
        <w:rPr>
          <w:rFonts w:ascii="Times New Roman" w:hAnsi="Times New Roman" w:cs="Times New Roman"/>
        </w:rPr>
        <w:t>响应文件应包括下列内容：</w:t>
      </w:r>
    </w:p>
    <w:p>
      <w:pPr>
        <w:spacing w:line="400" w:lineRule="atLeas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00" w:lineRule="atLeas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spacing w:line="440" w:lineRule="exact"/>
        <w:ind w:firstLine="420"/>
      </w:pPr>
      <w:r>
        <w:rPr>
          <w:rFonts w:hint="eastAsia" w:ascii="Times New Roman" w:hAnsi="Times New Roman" w:cs="Times New Roman"/>
        </w:rPr>
        <w:t>（8）供货方案；</w:t>
      </w:r>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3.2 报价要求</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报价应包括国家规定的增值税税金</w:t>
      </w:r>
      <w:r>
        <w:rPr>
          <w:rFonts w:hint="eastAsia" w:ascii="Times New Roman" w:hAnsi="Times New Roman" w:cs="Times New Roman"/>
          <w:highlight w:val="green"/>
        </w:rPr>
        <w:t>，供应商应提供增值税发票</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固定总价</w:t>
      </w:r>
      <w:r>
        <w:rPr>
          <w:rFonts w:hint="eastAsia" w:ascii="宋体" w:hAnsi="宋体" w:eastAsia="宋体" w:cs="宋体"/>
          <w:szCs w:val="21"/>
        </w:rPr>
        <w:t>合同，合同期内不调价；</w:t>
      </w:r>
    </w:p>
    <w:p>
      <w:pPr>
        <w:spacing w:line="440" w:lineRule="exact"/>
        <w:ind w:firstLine="420"/>
        <w:rPr>
          <w:rFonts w:ascii="Times New Roman" w:hAnsi="Times New Roman" w:cs="Times New Roman"/>
        </w:rPr>
      </w:pPr>
      <w:r>
        <w:rPr>
          <w:rFonts w:hint="eastAsia" w:ascii="宋体" w:hAnsi="宋体" w:eastAsia="宋体" w:cs="宋体"/>
          <w:szCs w:val="21"/>
        </w:rPr>
        <w:t>2、总价为设备生产、制造及保险、车辆购置税、销售差价、供货、包装运输（包括车辆运输至指定地点）、安装、调试、验收、取证、培训、技术服务、损耗费、附属材料费、售后服务、税金、质保期维护维修服务、车辆上牌服务等全部内容报价。</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14201229"/>
      <w:bookmarkStart w:id="45" w:name="_Toc26656960"/>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6" w:name="_Toc14201230"/>
      <w:bookmarkStart w:id="47" w:name="_Toc26656961"/>
      <w:r>
        <w:rPr>
          <w:rFonts w:ascii="Times New Roman" w:hAnsi="Times New Roman" w:eastAsia="黑体" w:cs="Times New Roman"/>
          <w:bCs/>
          <w:sz w:val="24"/>
          <w:szCs w:val="32"/>
        </w:rPr>
        <w:t>3.5资格审查资料</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8" w:name="_Toc26656963"/>
      <w:bookmarkStart w:id="49" w:name="_Toc14201232"/>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响应文件</w:t>
      </w:r>
      <w:r>
        <w:rPr>
          <w:rFonts w:ascii="Times New Roman" w:hAnsi="Times New Roman" w:eastAsia="宋体" w:cs="Times New Roman"/>
        </w:rPr>
        <w:t>的正本与副本应分别装订。</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hint="eastAsia" w:ascii="宋体" w:hAnsi="宋体" w:eastAsia="宋体" w:cs="宋体"/>
          <w:bCs/>
          <w:snapToGrid w:val="0"/>
          <w:kern w:val="0"/>
          <w:szCs w:val="21"/>
        </w:rPr>
      </w:pPr>
      <w:r>
        <w:rPr>
          <w:rFonts w:hint="eastAsia" w:ascii="宋体" w:hAnsi="宋体" w:eastAsia="宋体" w:cs="宋体"/>
          <w:bCs/>
          <w:snapToGrid w:val="0"/>
          <w:kern w:val="0"/>
          <w:szCs w:val="21"/>
        </w:rPr>
        <w:t>供应商名称：</w:t>
      </w:r>
    </w:p>
    <w:p>
      <w:pPr>
        <w:spacing w:line="440" w:lineRule="exact"/>
        <w:ind w:firstLine="420"/>
        <w:rPr>
          <w:rFonts w:hint="eastAsia" w:ascii="宋体" w:hAnsi="宋体" w:eastAsia="宋体" w:cs="宋体"/>
          <w:bCs/>
          <w:snapToGrid w:val="0"/>
          <w:kern w:val="0"/>
          <w:szCs w:val="21"/>
        </w:rPr>
      </w:pPr>
      <w:r>
        <w:rPr>
          <w:rFonts w:hint="eastAsia" w:ascii="宋体" w:hAnsi="宋体" w:eastAsia="宋体" w:cs="宋体"/>
          <w:bCs/>
          <w:snapToGrid w:val="0"/>
          <w:kern w:val="0"/>
          <w:szCs w:val="21"/>
          <w:u w:val="single"/>
        </w:rPr>
        <w:t xml:space="preserve">            (项目</w:t>
      </w:r>
      <w:r>
        <w:rPr>
          <w:rFonts w:hint="eastAsia" w:ascii="宋体" w:hAnsi="宋体" w:eastAsia="宋体" w:cs="宋体"/>
          <w:u w:val="single"/>
        </w:rPr>
        <w:t>名称</w:t>
      </w:r>
      <w:r>
        <w:rPr>
          <w:rFonts w:hint="eastAsia" w:ascii="宋体" w:hAnsi="宋体" w:eastAsia="宋体" w:cs="宋体"/>
          <w:bCs/>
          <w:snapToGrid w:val="0"/>
          <w:kern w:val="0"/>
          <w:szCs w:val="21"/>
          <w:u w:val="single"/>
        </w:rPr>
        <w:t>)   第</w:t>
      </w:r>
      <w:r>
        <w:rPr>
          <w:rFonts w:hint="eastAsia" w:ascii="宋体" w:hAnsi="宋体" w:eastAsia="宋体" w:cs="宋体"/>
          <w:bCs/>
          <w:snapToGrid w:val="0"/>
          <w:kern w:val="0"/>
          <w:szCs w:val="21"/>
        </w:rPr>
        <w:t>合同包响应文件</w:t>
      </w:r>
    </w:p>
    <w:p>
      <w:pPr>
        <w:spacing w:line="440" w:lineRule="exact"/>
        <w:ind w:firstLine="420"/>
        <w:rPr>
          <w:rFonts w:hint="eastAsia" w:ascii="宋体" w:hAnsi="宋体" w:eastAsia="宋体" w:cs="宋体"/>
        </w:rPr>
      </w:pPr>
      <w:r>
        <w:rPr>
          <w:rFonts w:hint="eastAsia" w:ascii="宋体" w:hAnsi="宋体" w:eastAsia="宋体" w:cs="宋体"/>
          <w:bCs/>
          <w:snapToGrid w:val="0"/>
          <w:kern w:val="0"/>
          <w:szCs w:val="21"/>
        </w:rPr>
        <w:t>在年月日时分（递交响应文件的截止时间）前不得开启</w:t>
      </w:r>
    </w:p>
    <w:p>
      <w:pPr>
        <w:spacing w:line="440" w:lineRule="exact"/>
        <w:ind w:firstLine="420"/>
        <w:rPr>
          <w:rFonts w:ascii="Times New Roman" w:hAnsi="Times New Roman" w:cs="Times New Roman"/>
        </w:rPr>
      </w:pPr>
      <w:r>
        <w:rPr>
          <w:rFonts w:hint="eastAsia" w:ascii="宋体" w:hAnsi="宋体" w:eastAsia="宋体" w:cs="宋体"/>
        </w:rPr>
        <w:t>4.1.2未按本章第4.1.1项要求密封的响应文件，采购人将予以</w:t>
      </w:r>
      <w:r>
        <w:rPr>
          <w:rFonts w:ascii="Times New Roman" w:hAnsi="Times New Roman"/>
        </w:rPr>
        <w:t>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5.2.1主持人按下列程序进行启封：</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（2）由供应商推选的代表检查响应文件的密封情况；</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文件签到表签名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50" w:name="_Toc9067725"/>
      <w:bookmarkStart w:id="51" w:name="_Toc14201241"/>
      <w:bookmarkStart w:id="52" w:name="_Toc26656972"/>
      <w:r>
        <w:rPr>
          <w:rFonts w:ascii="Times New Roman" w:hAnsi="Times New Roman" w:eastAsia="黑体" w:cs="Times New Roman"/>
          <w:bCs/>
          <w:sz w:val="24"/>
          <w:szCs w:val="32"/>
        </w:rPr>
        <w:t>6. 评</w:t>
      </w:r>
      <w:bookmarkEnd w:id="50"/>
      <w:bookmarkEnd w:id="51"/>
      <w:bookmarkEnd w:id="5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3" w:name="_Toc14201242"/>
      <w:bookmarkStart w:id="54" w:name="_Toc26656973"/>
      <w:r>
        <w:rPr>
          <w:rFonts w:ascii="Times New Roman" w:hAnsi="Times New Roman" w:eastAsia="黑体" w:cs="Times New Roman"/>
          <w:bCs/>
          <w:sz w:val="24"/>
          <w:szCs w:val="32"/>
        </w:rPr>
        <w:t>6.1</w:t>
      </w:r>
      <w:bookmarkEnd w:id="53"/>
      <w:bookmarkEnd w:id="5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5" w:name="_Toc26656975"/>
      <w:bookmarkStart w:id="56" w:name="_Toc14201244"/>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5"/>
      <w:bookmarkEnd w:id="5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7" w:name="_Toc14201245"/>
      <w:bookmarkStart w:id="58" w:name="_Toc26656976"/>
      <w:bookmarkStart w:id="59" w:name="_Toc9067726"/>
      <w:r>
        <w:rPr>
          <w:rFonts w:ascii="Times New Roman" w:hAnsi="Times New Roman" w:eastAsia="黑体" w:cs="Times New Roman"/>
          <w:bCs/>
          <w:sz w:val="24"/>
          <w:szCs w:val="32"/>
        </w:rPr>
        <w:t>7. 合同授予</w:t>
      </w:r>
      <w:bookmarkEnd w:id="57"/>
      <w:bookmarkEnd w:id="58"/>
      <w:bookmarkEnd w:id="59"/>
    </w:p>
    <w:p>
      <w:pPr>
        <w:keepNext/>
        <w:keepLines/>
        <w:spacing w:before="120" w:after="120"/>
        <w:outlineLvl w:val="2"/>
        <w:rPr>
          <w:rFonts w:ascii="Times New Roman" w:hAnsi="Times New Roman" w:eastAsia="黑体" w:cs="Times New Roman"/>
          <w:bCs/>
          <w:sz w:val="24"/>
          <w:szCs w:val="32"/>
        </w:rPr>
      </w:pPr>
      <w:bookmarkStart w:id="60" w:name="_Toc14201246"/>
      <w:bookmarkStart w:id="61" w:name="_Toc26656977"/>
      <w:r>
        <w:rPr>
          <w:rFonts w:ascii="Times New Roman" w:hAnsi="Times New Roman" w:eastAsia="黑体" w:cs="Times New Roman"/>
          <w:bCs/>
          <w:sz w:val="24"/>
          <w:szCs w:val="32"/>
        </w:rPr>
        <w:t>7.1成交候选人公示</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2" w:name="_Toc14201247"/>
      <w:bookmarkStart w:id="63" w:name="_Toc26656978"/>
      <w:r>
        <w:rPr>
          <w:rFonts w:ascii="Times New Roman" w:hAnsi="Times New Roman" w:eastAsia="黑体" w:cs="Times New Roman"/>
          <w:bCs/>
          <w:sz w:val="24"/>
          <w:szCs w:val="32"/>
        </w:rPr>
        <w:t>7.2评审结果异议</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4" w:name="_Toc26656979"/>
      <w:bookmarkStart w:id="65" w:name="_Toc14201248"/>
      <w:r>
        <w:rPr>
          <w:rFonts w:ascii="Times New Roman" w:hAnsi="Times New Roman" w:eastAsia="黑体" w:cs="Times New Roman"/>
          <w:bCs/>
          <w:sz w:val="24"/>
          <w:szCs w:val="32"/>
        </w:rPr>
        <w:t>7.3成交候选人履约能力审查</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6" w:name="_Toc14201253"/>
      <w:bookmarkStart w:id="67" w:name="_Toc26656984"/>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6"/>
      <w:bookmarkEnd w:id="67"/>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w:t>
      </w:r>
      <w:r>
        <w:rPr>
          <w:rFonts w:hint="eastAsia" w:ascii="Times New Roman" w:hAnsi="Times New Roman" w:cs="Times New Roman"/>
        </w:rPr>
        <w:t>变更</w:t>
      </w:r>
      <w:r>
        <w:rPr>
          <w:rFonts w:ascii="Times New Roman" w:hAnsi="Times New Roman" w:cs="Times New Roman"/>
        </w:rPr>
        <w:t>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68" w:name="_Toc26656988"/>
      <w:bookmarkStart w:id="69" w:name="_Toc14201257"/>
      <w:bookmarkStart w:id="70" w:name="_Toc9067727"/>
      <w:r>
        <w:rPr>
          <w:rFonts w:ascii="Times New Roman" w:hAnsi="Times New Roman" w:eastAsia="黑体" w:cs="Times New Roman"/>
          <w:bCs/>
          <w:sz w:val="24"/>
          <w:szCs w:val="32"/>
        </w:rPr>
        <w:t>8. 纪律和监督</w:t>
      </w:r>
      <w:bookmarkEnd w:id="68"/>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1" w:name="_Toc14201262"/>
      <w:bookmarkStart w:id="72" w:name="_Toc26656993"/>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投诉</w:t>
      </w:r>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3" w:name="_Toc9067731"/>
      <w:bookmarkStart w:id="74" w:name="_Toc14201263"/>
      <w:bookmarkStart w:id="75" w:name="_Toc26656994"/>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.需要补充的其他内容</w:t>
      </w:r>
      <w:bookmarkEnd w:id="73"/>
      <w:bookmarkEnd w:id="74"/>
      <w:bookmarkEnd w:id="75"/>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1"/>
        <w:jc w:val="right"/>
        <w:rPr>
          <w:rFonts w:hint="default" w:ascii="Times New Roman" w:hAnsi="Times New Roman"/>
          <w:color w:val="auto"/>
          <w:sz w:val="21"/>
          <w:szCs w:val="22"/>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adjustRightInd w:val="0"/>
        <w:snapToGrid w:val="0"/>
        <w:spacing w:line="360" w:lineRule="auto"/>
        <w:ind w:firstLine="420"/>
        <w:textAlignment w:val="baseline"/>
        <w:rPr>
          <w:rFonts w:ascii="Times New Roman" w:hAnsi="Times New Roman" w:eastAsia="宋体" w:cs="Times New Roman"/>
          <w:szCs w:val="21"/>
        </w:rPr>
      </w:pP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47"/>
        <w:gridCol w:w="1808"/>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31"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808"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47"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tbl>
      <w:tblPr>
        <w:tblStyle w:val="13"/>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bl>
    <w:p>
      <w:pPr>
        <w:jc w:val="right"/>
        <w:rPr>
          <w:rFonts w:ascii="Times New Roman" w:hAnsi="Times New Roman" w:eastAsia="宋体" w:cs="Times New Roman"/>
          <w:spacing w:val="4"/>
          <w:szCs w:val="21"/>
        </w:rPr>
      </w:pPr>
    </w:p>
    <w:p>
      <w:pPr>
        <w:jc w:val="left"/>
        <w:rPr>
          <w:rFonts w:ascii="Times New Roman" w:hAnsi="Times New Roman" w:eastAsia="宋体" w:cs="Times New Roman"/>
          <w:spacing w:val="4"/>
          <w:szCs w:val="21"/>
        </w:rPr>
      </w:pPr>
      <w:r>
        <w:rPr>
          <w:rFonts w:ascii="Times New Roman" w:hAnsi="Times New Roman" w:eastAsia="宋体" w:cs="Times New Roman"/>
          <w:spacing w:val="4"/>
          <w:szCs w:val="21"/>
        </w:rPr>
        <w:br w:type="page"/>
      </w:r>
    </w:p>
    <w:p>
      <w:pPr>
        <w:jc w:val="right"/>
        <w:rPr>
          <w:rFonts w:ascii="Times New Roman" w:hAnsi="Times New Roman" w:eastAsia="宋体" w:cs="Times New Roman"/>
        </w:rPr>
      </w:pPr>
      <w:r>
        <w:rPr>
          <w:rFonts w:ascii="Times New Roman" w:hAnsi="Times New Roman" w:eastAsia="宋体" w:cs="Times New Roman"/>
          <w:spacing w:val="4"/>
          <w:szCs w:val="21"/>
        </w:rPr>
        <w:t>续上表</w:t>
      </w:r>
    </w:p>
    <w:tbl>
      <w:tblPr>
        <w:tblStyle w:val="13"/>
        <w:tblW w:w="92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25"/>
        <w:gridCol w:w="850"/>
        <w:gridCol w:w="1134"/>
        <w:gridCol w:w="567"/>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4536" w:type="dxa"/>
            <w:gridSpan w:val="5"/>
            <w:tcBorders>
              <w:top w:val="single" w:color="auto" w:sz="4" w:space="0"/>
            </w:tcBorders>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评分因素与权重分值</w:t>
            </w:r>
          </w:p>
        </w:tc>
        <w:tc>
          <w:tcPr>
            <w:tcW w:w="4668"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1160"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825"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850" w:type="dxa"/>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134"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567" w:type="dxa"/>
            <w:vAlign w:val="center"/>
          </w:tcPr>
          <w:p>
            <w:pPr>
              <w:spacing w:line="380" w:lineRule="atLeast"/>
              <w:jc w:val="right"/>
              <w:rPr>
                <w:rFonts w:ascii="Times New Roman" w:hAnsi="Times New Roman" w:eastAsia="宋体" w:cs="Times New Roman"/>
                <w:b/>
                <w:szCs w:val="21"/>
              </w:rPr>
            </w:pPr>
            <w:r>
              <w:rPr>
                <w:rFonts w:ascii="Times New Roman" w:hAnsi="Times New Roman" w:eastAsia="宋体" w:cs="Times New Roman"/>
                <w:b/>
                <w:szCs w:val="21"/>
              </w:rPr>
              <w:t>分值</w:t>
            </w:r>
          </w:p>
        </w:tc>
        <w:tc>
          <w:tcPr>
            <w:tcW w:w="4668"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160" w:type="dxa"/>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825" w:type="dxa"/>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850" w:type="dxa"/>
            <w:vMerge w:val="restart"/>
            <w:vAlign w:val="center"/>
          </w:tcPr>
          <w:p>
            <w:pPr>
              <w:spacing w:line="380" w:lineRule="atLeast"/>
              <w:jc w:val="right"/>
              <w:rPr>
                <w:rFonts w:ascii="Times New Roman" w:hAnsi="Times New Roman" w:eastAsia="宋体" w:cs="Times New Roman"/>
                <w:szCs w:val="21"/>
                <w:u w:val="single"/>
              </w:rPr>
            </w:pPr>
            <w:r>
              <w:rPr>
                <w:rFonts w:ascii="Times New Roman" w:hAnsi="Times New Roman" w:eastAsia="宋体" w:cs="Times New Roman"/>
                <w:szCs w:val="21"/>
                <w:u w:val="single"/>
              </w:rPr>
              <w:t xml:space="preserve"> 40 </w:t>
            </w:r>
            <w:r>
              <w:rPr>
                <w:rFonts w:ascii="Times New Roman" w:hAnsi="Times New Roman" w:eastAsia="宋体" w:cs="Times New Roman"/>
                <w:szCs w:val="21"/>
              </w:rPr>
              <w:t>分</w:t>
            </w: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技术指标</w:t>
            </w:r>
          </w:p>
        </w:tc>
        <w:tc>
          <w:tcPr>
            <w:tcW w:w="567" w:type="dxa"/>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20</w:t>
            </w:r>
          </w:p>
        </w:tc>
        <w:tc>
          <w:tcPr>
            <w:tcW w:w="4668" w:type="dxa"/>
            <w:vAlign w:val="center"/>
          </w:tcPr>
          <w:p>
            <w:pPr>
              <w:kinsoku w:val="0"/>
              <w:autoSpaceDE w:val="0"/>
              <w:autoSpaceDN w:val="0"/>
              <w:adjustRightInd w:val="0"/>
              <w:spacing w:before="156" w:beforeLines="50" w:line="332" w:lineRule="exact"/>
              <w:rPr>
                <w:rFonts w:ascii="宋体" w:hAnsi="宋体" w:cs="宋体"/>
                <w:kern w:val="1"/>
                <w:szCs w:val="21"/>
                <w:shd w:val="clear" w:color="auto" w:fill="FFFFFF"/>
              </w:rPr>
            </w:pPr>
            <w:r>
              <w:rPr>
                <w:rFonts w:ascii="宋体" w:hAnsi="宋体" w:cs="宋体"/>
                <w:kern w:val="1"/>
                <w:szCs w:val="21"/>
                <w:shd w:val="clear" w:color="auto" w:fill="FFFFFF"/>
              </w:rPr>
              <w:t>1、任何一项带“</w:t>
            </w:r>
            <w:r>
              <w:rPr>
                <w:rFonts w:hint="eastAsia" w:ascii="宋体" w:hAnsi="宋体" w:cs="宋体"/>
                <w:szCs w:val="21"/>
              </w:rPr>
              <w:t>★</w:t>
            </w:r>
            <w:r>
              <w:rPr>
                <w:rFonts w:hint="eastAsia" w:ascii="宋体" w:hAnsi="宋体" w:cs="宋体"/>
                <w:kern w:val="1"/>
                <w:szCs w:val="21"/>
                <w:shd w:val="clear" w:color="auto" w:fill="FFFFFF"/>
              </w:rPr>
              <w:t>”号</w:t>
            </w:r>
            <w:r>
              <w:rPr>
                <w:rFonts w:hint="eastAsia" w:ascii="宋体" w:hAnsi="宋体" w:cs="宋体"/>
                <w:kern w:val="1"/>
                <w:szCs w:val="21"/>
                <w:shd w:val="clear" w:color="auto" w:fill="FFFFFF"/>
                <w:lang w:eastAsia="zh-CN"/>
              </w:rPr>
              <w:t>为主要</w:t>
            </w:r>
            <w:r>
              <w:rPr>
                <w:rFonts w:hint="eastAsia" w:ascii="宋体" w:hAnsi="宋体" w:cs="宋体"/>
                <w:kern w:val="1"/>
                <w:szCs w:val="21"/>
                <w:shd w:val="clear" w:color="auto" w:fill="FFFFFF"/>
              </w:rPr>
              <w:t>技术指标、参数或性能描述没有实质性响应招标文件的要求</w:t>
            </w:r>
            <w:r>
              <w:rPr>
                <w:rFonts w:ascii="宋体" w:hAnsi="宋体" w:cs="宋体"/>
                <w:kern w:val="1"/>
                <w:szCs w:val="21"/>
                <w:shd w:val="clear" w:color="auto" w:fill="FFFFFF"/>
              </w:rPr>
              <w:t>,技术部分得0分。</w:t>
            </w:r>
          </w:p>
          <w:p>
            <w:pPr>
              <w:kinsoku w:val="0"/>
              <w:autoSpaceDE w:val="0"/>
              <w:autoSpaceDN w:val="0"/>
              <w:adjustRightInd w:val="0"/>
              <w:spacing w:before="156" w:beforeLines="50" w:line="332" w:lineRule="exact"/>
              <w:rPr>
                <w:szCs w:val="21"/>
              </w:rPr>
            </w:pPr>
            <w:r>
              <w:rPr>
                <w:rFonts w:ascii="宋体" w:hAnsi="宋体" w:cs="宋体"/>
                <w:kern w:val="1"/>
                <w:szCs w:val="21"/>
                <w:shd w:val="clear" w:color="auto" w:fill="FFFFFF"/>
              </w:rPr>
              <w:t>2、</w:t>
            </w:r>
            <w:r>
              <w:rPr>
                <w:rFonts w:hint="eastAsia"/>
                <w:szCs w:val="21"/>
              </w:rPr>
              <w:t>报价文件中提供主要技术参数均满足询价文件要求的，得基本分15分；在此基础上：</w:t>
            </w:r>
          </w:p>
          <w:p>
            <w:pPr>
              <w:adjustRightInd w:val="0"/>
              <w:snapToGrid w:val="0"/>
              <w:spacing w:line="276" w:lineRule="auto"/>
              <w:rPr>
                <w:rFonts w:ascii="Times New Roman" w:hAnsi="Times New Roman" w:cs="Times New Roman"/>
                <w:szCs w:val="21"/>
              </w:rPr>
            </w:pPr>
            <w:r>
              <w:rPr>
                <w:rFonts w:hint="eastAsia"/>
                <w:szCs w:val="21"/>
              </w:rPr>
              <w:t>主要技术参数优于询价文件要求的，每有一项加</w:t>
            </w:r>
            <w:r>
              <w:rPr>
                <w:szCs w:val="21"/>
              </w:rPr>
              <w:t>1</w:t>
            </w:r>
            <w:r>
              <w:rPr>
                <w:rFonts w:hint="eastAsia"/>
                <w:szCs w:val="21"/>
              </w:rPr>
              <w:t>分，本项最多加5分，本项满分20分。主要技术参数低于询价文件要求的，每项扣2分，扣完为止。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业绩要求</w:t>
            </w:r>
          </w:p>
        </w:tc>
        <w:tc>
          <w:tcPr>
            <w:tcW w:w="56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15</w:t>
            </w:r>
          </w:p>
        </w:tc>
        <w:tc>
          <w:tcPr>
            <w:tcW w:w="4668" w:type="dxa"/>
            <w:vAlign w:val="center"/>
          </w:tcPr>
          <w:p>
            <w:pPr>
              <w:pStyle w:val="34"/>
              <w:spacing w:before="18" w:after="156" w:afterLines="50" w:line="312" w:lineRule="exact"/>
              <w:ind w:left="-6" w:leftChars="-3"/>
              <w:rPr>
                <w:rFonts w:eastAsiaTheme="minorEastAsia" w:cstheme="minorBidi"/>
                <w:b/>
                <w:szCs w:val="21"/>
                <w:lang w:val="en-US" w:bidi="ar-SA"/>
              </w:rPr>
            </w:pPr>
            <w:r>
              <w:rPr>
                <w:rFonts w:eastAsiaTheme="minorEastAsia" w:cstheme="minorBidi"/>
                <w:b/>
                <w:szCs w:val="21"/>
                <w:lang w:val="en-US" w:bidi="ar-SA"/>
              </w:rPr>
              <w:t>1.行业业绩</w:t>
            </w:r>
            <w:r>
              <w:rPr>
                <w:rFonts w:hint="eastAsia" w:eastAsiaTheme="minorEastAsia" w:cstheme="minorBidi"/>
                <w:b/>
                <w:szCs w:val="21"/>
                <w:lang w:val="en-US" w:bidi="ar-SA"/>
              </w:rPr>
              <w:t>（8</w:t>
            </w:r>
            <w:r>
              <w:rPr>
                <w:rFonts w:eastAsiaTheme="minorEastAsia" w:cstheme="minorBidi"/>
                <w:b/>
                <w:szCs w:val="21"/>
                <w:lang w:val="en-US" w:bidi="ar-SA"/>
              </w:rPr>
              <w:t>分</w:t>
            </w:r>
            <w:r>
              <w:rPr>
                <w:rFonts w:hint="eastAsia" w:eastAsiaTheme="minorEastAsia" w:cstheme="minorBidi"/>
                <w:b/>
                <w:szCs w:val="21"/>
                <w:lang w:val="en-US" w:bidi="ar-SA"/>
              </w:rPr>
              <w:t xml:space="preserve">）  </w:t>
            </w:r>
          </w:p>
          <w:p>
            <w:pPr>
              <w:spacing w:line="300" w:lineRule="atLeast"/>
              <w:rPr>
                <w:rFonts w:ascii="宋体" w:hAnsi="宋体"/>
                <w:b/>
                <w:szCs w:val="21"/>
              </w:rPr>
            </w:pPr>
            <w:r>
              <w:rPr>
                <w:rFonts w:hint="eastAsia" w:ascii="Times New Roman" w:hAnsi="Times New Roman" w:eastAsia="宋体" w:cs="Times New Roman"/>
                <w:szCs w:val="21"/>
              </w:rPr>
              <w:t>投标设备所属</w:t>
            </w:r>
            <w:r>
              <w:rPr>
                <w:rFonts w:ascii="宋体" w:hAnsi="宋体"/>
                <w:szCs w:val="21"/>
              </w:rPr>
              <w:t>品牌</w:t>
            </w:r>
            <w:r>
              <w:rPr>
                <w:rFonts w:hint="eastAsia" w:ascii="宋体" w:hAnsi="宋体"/>
                <w:szCs w:val="21"/>
              </w:rPr>
              <w:t>，</w:t>
            </w:r>
            <w:r>
              <w:rPr>
                <w:rFonts w:ascii="宋体" w:hAnsi="宋体"/>
                <w:b/>
                <w:szCs w:val="21"/>
                <w:u w:val="single"/>
              </w:rPr>
              <w:t>清障车总产量</w:t>
            </w:r>
            <w:r>
              <w:rPr>
                <w:rFonts w:hint="eastAsia" w:ascii="宋体" w:hAnsi="宋体"/>
                <w:szCs w:val="21"/>
              </w:rPr>
              <w:t>自</w:t>
            </w:r>
            <w:r>
              <w:rPr>
                <w:rFonts w:ascii="宋体" w:hAnsi="宋体"/>
                <w:szCs w:val="21"/>
              </w:rPr>
              <w:t>20</w:t>
            </w:r>
            <w:r>
              <w:rPr>
                <w:rFonts w:hint="eastAsia" w:ascii="宋体" w:hAnsi="宋体"/>
                <w:szCs w:val="21"/>
              </w:rPr>
              <w:t>19</w:t>
            </w:r>
            <w:r>
              <w:rPr>
                <w:rFonts w:ascii="宋体" w:hAnsi="宋体"/>
                <w:szCs w:val="21"/>
              </w:rPr>
              <w:t>年至</w:t>
            </w:r>
            <w:r>
              <w:rPr>
                <w:rFonts w:hint="eastAsia" w:ascii="宋体" w:hAnsi="宋体"/>
                <w:szCs w:val="21"/>
              </w:rPr>
              <w:t>2022年：</w:t>
            </w:r>
          </w:p>
          <w:p>
            <w:pPr>
              <w:spacing w:line="300" w:lineRule="atLeast"/>
              <w:rPr>
                <w:rFonts w:ascii="宋体" w:hAnsi="宋体"/>
                <w:color w:val="auto"/>
                <w:szCs w:val="21"/>
              </w:rPr>
            </w:pPr>
            <w:r>
              <w:rPr>
                <w:rFonts w:ascii="宋体" w:hAnsi="宋体"/>
                <w:color w:val="auto"/>
                <w:szCs w:val="21"/>
              </w:rPr>
              <w:t>1)</w:t>
            </w:r>
            <w:r>
              <w:rPr>
                <w:rFonts w:hint="eastAsia" w:ascii="宋体" w:hAnsi="宋体"/>
                <w:color w:val="auto"/>
                <w:szCs w:val="21"/>
                <w:lang w:eastAsia="zh-CN"/>
              </w:rPr>
              <w:t>年销售</w:t>
            </w:r>
            <w:r>
              <w:rPr>
                <w:rFonts w:ascii="宋体" w:hAnsi="宋体"/>
                <w:color w:val="auto"/>
                <w:szCs w:val="21"/>
              </w:rPr>
              <w:t>在</w:t>
            </w:r>
            <w:r>
              <w:rPr>
                <w:rFonts w:hint="eastAsia" w:ascii="宋体" w:hAnsi="宋体"/>
                <w:color w:val="auto"/>
                <w:szCs w:val="21"/>
              </w:rPr>
              <w:t>2000</w:t>
            </w:r>
            <w:r>
              <w:rPr>
                <w:rFonts w:ascii="宋体" w:hAnsi="宋体"/>
                <w:color w:val="auto"/>
                <w:szCs w:val="21"/>
              </w:rPr>
              <w:t>辆以上，</w:t>
            </w:r>
            <w:r>
              <w:rPr>
                <w:rFonts w:hint="eastAsia" w:ascii="宋体" w:hAnsi="宋体"/>
                <w:color w:val="auto"/>
                <w:szCs w:val="21"/>
              </w:rPr>
              <w:t>得8</w:t>
            </w:r>
            <w:r>
              <w:rPr>
                <w:rFonts w:ascii="宋体" w:hAnsi="宋体"/>
                <w:color w:val="auto"/>
                <w:szCs w:val="21"/>
              </w:rPr>
              <w:t>分；</w:t>
            </w:r>
          </w:p>
          <w:p>
            <w:pPr>
              <w:spacing w:line="300" w:lineRule="atLeast"/>
              <w:rPr>
                <w:rFonts w:ascii="宋体" w:hAnsi="宋体"/>
                <w:color w:val="auto"/>
                <w:szCs w:val="21"/>
              </w:rPr>
            </w:pPr>
            <w:r>
              <w:rPr>
                <w:rFonts w:ascii="宋体" w:hAnsi="宋体"/>
                <w:color w:val="auto"/>
                <w:szCs w:val="21"/>
              </w:rPr>
              <w:t>2)</w:t>
            </w:r>
            <w:r>
              <w:rPr>
                <w:rFonts w:hint="eastAsia" w:ascii="宋体" w:hAnsi="宋体"/>
                <w:color w:val="auto"/>
                <w:szCs w:val="21"/>
                <w:lang w:eastAsia="zh-CN"/>
              </w:rPr>
              <w:t>年销售</w:t>
            </w:r>
            <w:r>
              <w:rPr>
                <w:rFonts w:ascii="宋体" w:hAnsi="宋体"/>
                <w:color w:val="auto"/>
                <w:szCs w:val="21"/>
              </w:rPr>
              <w:t>在</w:t>
            </w:r>
            <w:r>
              <w:rPr>
                <w:rFonts w:hint="eastAsia" w:ascii="宋体" w:hAnsi="宋体"/>
                <w:color w:val="auto"/>
                <w:szCs w:val="21"/>
              </w:rPr>
              <w:t>15</w:t>
            </w:r>
            <w:r>
              <w:rPr>
                <w:rFonts w:ascii="宋体" w:hAnsi="宋体"/>
                <w:color w:val="auto"/>
                <w:szCs w:val="21"/>
              </w:rPr>
              <w:t>00－</w:t>
            </w:r>
            <w:r>
              <w:rPr>
                <w:rFonts w:hint="eastAsia" w:ascii="宋体" w:hAnsi="宋体"/>
                <w:color w:val="auto"/>
                <w:szCs w:val="21"/>
              </w:rPr>
              <w:t>20</w:t>
            </w:r>
            <w:r>
              <w:rPr>
                <w:rFonts w:ascii="宋体" w:hAnsi="宋体"/>
                <w:color w:val="auto"/>
                <w:szCs w:val="21"/>
              </w:rPr>
              <w:t>00辆（含），</w:t>
            </w:r>
            <w:r>
              <w:rPr>
                <w:rFonts w:hint="eastAsia" w:ascii="宋体" w:hAnsi="宋体"/>
                <w:color w:val="auto"/>
                <w:szCs w:val="21"/>
              </w:rPr>
              <w:t>得5</w:t>
            </w:r>
            <w:r>
              <w:rPr>
                <w:rFonts w:ascii="宋体" w:hAnsi="宋体"/>
                <w:color w:val="auto"/>
                <w:szCs w:val="21"/>
              </w:rPr>
              <w:t>分；</w:t>
            </w:r>
          </w:p>
          <w:p>
            <w:pPr>
              <w:spacing w:line="300" w:lineRule="atLeast"/>
              <w:rPr>
                <w:rFonts w:ascii="宋体" w:hAnsi="宋体"/>
                <w:color w:val="auto"/>
                <w:szCs w:val="21"/>
              </w:rPr>
            </w:pPr>
            <w:r>
              <w:rPr>
                <w:rFonts w:ascii="宋体" w:hAnsi="宋体"/>
                <w:color w:val="auto"/>
                <w:szCs w:val="21"/>
              </w:rPr>
              <w:t>3)</w:t>
            </w:r>
            <w:r>
              <w:rPr>
                <w:rFonts w:hint="eastAsia" w:ascii="宋体" w:hAnsi="宋体"/>
                <w:color w:val="auto"/>
                <w:szCs w:val="21"/>
                <w:lang w:eastAsia="zh-CN"/>
              </w:rPr>
              <w:t>年销量</w:t>
            </w:r>
            <w:r>
              <w:rPr>
                <w:rFonts w:ascii="宋体" w:hAnsi="宋体"/>
                <w:color w:val="auto"/>
                <w:szCs w:val="21"/>
              </w:rPr>
              <w:t>在500－1</w:t>
            </w:r>
            <w:r>
              <w:rPr>
                <w:rFonts w:hint="eastAsia" w:ascii="宋体" w:hAnsi="宋体"/>
                <w:color w:val="auto"/>
                <w:szCs w:val="21"/>
              </w:rPr>
              <w:t>5</w:t>
            </w:r>
            <w:r>
              <w:rPr>
                <w:rFonts w:ascii="宋体" w:hAnsi="宋体"/>
                <w:color w:val="auto"/>
                <w:szCs w:val="21"/>
              </w:rPr>
              <w:t>00辆（含），</w:t>
            </w:r>
            <w:r>
              <w:rPr>
                <w:rFonts w:hint="eastAsia" w:ascii="宋体" w:hAnsi="宋体"/>
                <w:color w:val="auto"/>
                <w:szCs w:val="21"/>
              </w:rPr>
              <w:t>得2</w:t>
            </w:r>
            <w:r>
              <w:rPr>
                <w:rFonts w:ascii="宋体" w:hAnsi="宋体"/>
                <w:color w:val="auto"/>
                <w:szCs w:val="21"/>
              </w:rPr>
              <w:t>分；</w:t>
            </w:r>
          </w:p>
          <w:p>
            <w:pPr>
              <w:adjustRightInd w:val="0"/>
              <w:snapToGrid w:val="0"/>
              <w:spacing w:line="276" w:lineRule="auto"/>
              <w:rPr>
                <w:rFonts w:ascii="宋体" w:hAnsi="宋体"/>
                <w:color w:val="auto"/>
                <w:szCs w:val="21"/>
              </w:rPr>
            </w:pPr>
            <w:r>
              <w:rPr>
                <w:rFonts w:ascii="宋体" w:hAnsi="宋体"/>
                <w:color w:val="auto"/>
                <w:szCs w:val="21"/>
              </w:rPr>
              <w:t>4)</w:t>
            </w:r>
            <w:r>
              <w:rPr>
                <w:rFonts w:hint="eastAsia" w:ascii="宋体" w:hAnsi="宋体"/>
                <w:color w:val="auto"/>
                <w:szCs w:val="21"/>
                <w:lang w:eastAsia="zh-CN"/>
              </w:rPr>
              <w:t>年销量</w:t>
            </w:r>
            <w:r>
              <w:rPr>
                <w:rFonts w:ascii="宋体" w:hAnsi="宋体"/>
                <w:color w:val="auto"/>
                <w:szCs w:val="21"/>
              </w:rPr>
              <w:t>在500辆（含）以下，</w:t>
            </w:r>
            <w:r>
              <w:rPr>
                <w:rFonts w:hint="eastAsia" w:ascii="宋体" w:hAnsi="宋体"/>
                <w:color w:val="auto"/>
                <w:szCs w:val="21"/>
              </w:rPr>
              <w:t>不得</w:t>
            </w:r>
            <w:r>
              <w:rPr>
                <w:rFonts w:ascii="宋体" w:hAnsi="宋体"/>
                <w:color w:val="auto"/>
                <w:szCs w:val="21"/>
              </w:rPr>
              <w:t>分；</w:t>
            </w:r>
          </w:p>
          <w:p>
            <w:pPr>
              <w:spacing w:before="156" w:beforeLines="50" w:line="0" w:lineRule="atLeast"/>
              <w:rPr>
                <w:rFonts w:ascii="宋体" w:hAnsi="宋体"/>
                <w:bCs/>
                <w:szCs w:val="21"/>
              </w:rPr>
            </w:pPr>
            <w:r>
              <w:rPr>
                <w:rFonts w:hint="eastAsia" w:ascii="宋体" w:hAnsi="宋体"/>
                <w:bCs/>
                <w:szCs w:val="21"/>
              </w:rPr>
              <w:t>注：以中国汽车技术研究中心及汽车产业发展研究所发布的《中国专用汽车行业月度数据服务报告》的清障车产量</w:t>
            </w:r>
            <w:r>
              <w:rPr>
                <w:rFonts w:hint="eastAsia" w:ascii="宋体" w:hAnsi="宋体"/>
                <w:bCs/>
                <w:color w:val="auto"/>
                <w:szCs w:val="21"/>
              </w:rPr>
              <w:t>（</w:t>
            </w:r>
            <w:r>
              <w:rPr>
                <w:rFonts w:ascii="宋体" w:hAnsi="宋体"/>
                <w:b/>
                <w:bCs/>
                <w:color w:val="auto"/>
                <w:szCs w:val="21"/>
              </w:rPr>
              <w:t>20</w:t>
            </w:r>
            <w:r>
              <w:rPr>
                <w:rFonts w:hint="eastAsia" w:ascii="宋体" w:hAnsi="宋体"/>
                <w:b/>
                <w:bCs/>
                <w:color w:val="auto"/>
                <w:szCs w:val="21"/>
              </w:rPr>
              <w:t>19</w:t>
            </w:r>
            <w:r>
              <w:rPr>
                <w:rFonts w:ascii="宋体" w:hAnsi="宋体"/>
                <w:b/>
                <w:bCs/>
                <w:color w:val="auto"/>
                <w:szCs w:val="21"/>
              </w:rPr>
              <w:t>-20</w:t>
            </w:r>
            <w:r>
              <w:rPr>
                <w:rFonts w:hint="eastAsia" w:ascii="宋体" w:hAnsi="宋体"/>
                <w:b/>
                <w:bCs/>
                <w:color w:val="auto"/>
                <w:szCs w:val="21"/>
              </w:rPr>
              <w:t>21</w:t>
            </w:r>
            <w:r>
              <w:rPr>
                <w:rFonts w:ascii="宋体" w:hAnsi="宋体"/>
                <w:b/>
                <w:bCs/>
                <w:color w:val="auto"/>
                <w:szCs w:val="21"/>
              </w:rPr>
              <w:t>）</w:t>
            </w:r>
            <w:r>
              <w:rPr>
                <w:rFonts w:ascii="宋体" w:hAnsi="宋体"/>
                <w:bCs/>
                <w:color w:val="auto"/>
                <w:szCs w:val="21"/>
              </w:rPr>
              <w:t>数</w:t>
            </w:r>
            <w:r>
              <w:rPr>
                <w:rFonts w:ascii="宋体" w:hAnsi="宋体"/>
                <w:bCs/>
                <w:szCs w:val="21"/>
              </w:rPr>
              <w:t>据为评分依据（★《中国专用汽车行业月度数据服务报告》是目前中国专用车销售数据最权威最精确的统计数据）。</w:t>
            </w:r>
          </w:p>
          <w:p>
            <w:pPr>
              <w:spacing w:before="156" w:beforeLines="50" w:line="0" w:lineRule="atLeast"/>
              <w:rPr>
                <w:rFonts w:ascii="宋体" w:hAnsi="宋体" w:cs="宋体"/>
                <w:b/>
                <w:spacing w:val="-159"/>
                <w:szCs w:val="21"/>
              </w:rPr>
            </w:pPr>
            <w:r>
              <w:rPr>
                <w:rFonts w:ascii="宋体" w:hAnsi="宋体"/>
                <w:b/>
                <w:szCs w:val="21"/>
              </w:rPr>
              <w:t>2.销售业绩</w:t>
            </w:r>
            <w:r>
              <w:rPr>
                <w:rFonts w:hint="eastAsia" w:ascii="宋体" w:hAnsi="宋体"/>
                <w:b/>
                <w:szCs w:val="21"/>
              </w:rPr>
              <w:t>（7分）</w:t>
            </w:r>
            <w:r>
              <w:rPr>
                <w:rFonts w:hint="eastAsia" w:ascii="宋体" w:hAnsi="宋体"/>
                <w:b/>
                <w:color w:val="auto"/>
                <w:szCs w:val="21"/>
              </w:rPr>
              <w:t>（提供合同和发票复印件）</w:t>
            </w:r>
          </w:p>
          <w:p>
            <w:pPr>
              <w:spacing w:before="156" w:beforeLines="50" w:line="0" w:lineRule="atLeast"/>
              <w:rPr>
                <w:rFonts w:ascii="宋体" w:hAnsi="宋体"/>
                <w:b/>
                <w:color w:val="auto"/>
                <w:szCs w:val="21"/>
              </w:rPr>
            </w:pPr>
            <w:r>
              <w:rPr>
                <w:rFonts w:hint="eastAsia" w:ascii="宋体" w:hAnsi="宋体"/>
                <w:color w:val="auto"/>
                <w:szCs w:val="21"/>
              </w:rPr>
              <w:t>投标人提供的业绩满足询文件资格要求的，得基本分4.2</w:t>
            </w:r>
            <w:r>
              <w:rPr>
                <w:rFonts w:ascii="宋体" w:hAnsi="宋体"/>
                <w:color w:val="auto"/>
                <w:szCs w:val="21"/>
              </w:rPr>
              <w:t>分</w:t>
            </w:r>
            <w:r>
              <w:rPr>
                <w:rFonts w:hint="eastAsia" w:ascii="宋体" w:hAnsi="宋体"/>
                <w:color w:val="auto"/>
                <w:szCs w:val="21"/>
              </w:rPr>
              <w:t>，</w:t>
            </w:r>
            <w:r>
              <w:rPr>
                <w:rFonts w:ascii="宋体" w:hAnsi="宋体"/>
                <w:color w:val="auto"/>
                <w:szCs w:val="21"/>
              </w:rPr>
              <w:t>在此基础上</w:t>
            </w:r>
            <w:r>
              <w:rPr>
                <w:rFonts w:hint="eastAsia" w:ascii="宋体" w:hAnsi="宋体"/>
                <w:color w:val="auto"/>
                <w:szCs w:val="21"/>
              </w:rPr>
              <w:t>提供：</w:t>
            </w:r>
          </w:p>
          <w:p>
            <w:pPr>
              <w:spacing w:line="300" w:lineRule="atLeast"/>
              <w:rPr>
                <w:rFonts w:ascii="宋体" w:hAnsi="宋体"/>
                <w:color w:val="auto"/>
                <w:szCs w:val="21"/>
              </w:rPr>
            </w:pPr>
            <w:r>
              <w:rPr>
                <w:rFonts w:ascii="宋体" w:hAnsi="宋体"/>
                <w:szCs w:val="21"/>
              </w:rPr>
              <w:t>投标人或所投设备制造商</w:t>
            </w:r>
            <w:r>
              <w:rPr>
                <w:rFonts w:hint="eastAsia" w:ascii="宋体" w:hAnsi="宋体"/>
                <w:szCs w:val="21"/>
              </w:rPr>
              <w:t>提供的</w:t>
            </w:r>
            <w:r>
              <w:rPr>
                <w:rFonts w:hint="eastAsia" w:ascii="宋体" w:hAnsi="宋体" w:cs="宋体"/>
              </w:rPr>
              <w:t>近三年（</w:t>
            </w:r>
            <w:r>
              <w:rPr>
                <w:rFonts w:ascii="宋体" w:hAnsi="宋体" w:cs="宋体"/>
              </w:rPr>
              <w:t>201</w:t>
            </w:r>
            <w:r>
              <w:rPr>
                <w:rFonts w:hint="eastAsia" w:ascii="宋体" w:hAnsi="宋体" w:cs="宋体"/>
              </w:rPr>
              <w:t>9</w:t>
            </w:r>
            <w:r>
              <w:rPr>
                <w:rFonts w:ascii="宋体" w:hAnsi="宋体" w:cs="宋体"/>
              </w:rPr>
              <w:t>年1月1日至</w:t>
            </w:r>
            <w:r>
              <w:rPr>
                <w:rFonts w:ascii="Times New Roman" w:hAnsi="Times New Roman" w:cs="Times New Roman"/>
                <w:szCs w:val="22"/>
              </w:rPr>
              <w:t>响应文件递交截止日期</w:t>
            </w:r>
            <w:r>
              <w:rPr>
                <w:rFonts w:ascii="宋体" w:hAnsi="宋体" w:cs="宋体"/>
              </w:rPr>
              <w:t>，以合同签订时间为准）</w:t>
            </w:r>
            <w:r>
              <w:rPr>
                <w:rFonts w:hint="eastAsia" w:ascii="宋体" w:hAnsi="宋体" w:cs="宋体"/>
                <w:color w:val="auto"/>
              </w:rPr>
              <w:t>安徽省内</w:t>
            </w:r>
            <w:r>
              <w:rPr>
                <w:rFonts w:hint="eastAsia" w:ascii="宋体" w:hAnsi="宋体"/>
                <w:color w:val="auto"/>
                <w:szCs w:val="21"/>
              </w:rPr>
              <w:t>达到</w:t>
            </w:r>
            <w:r>
              <w:rPr>
                <w:rFonts w:ascii="宋体" w:hAnsi="宋体"/>
                <w:color w:val="auto"/>
                <w:szCs w:val="21"/>
              </w:rPr>
              <w:t>5</w:t>
            </w:r>
            <w:r>
              <w:rPr>
                <w:rFonts w:hint="eastAsia" w:ascii="宋体" w:hAnsi="宋体"/>
                <w:color w:val="auto"/>
                <w:szCs w:val="21"/>
              </w:rPr>
              <w:t>台加2.8分</w:t>
            </w:r>
            <w:r>
              <w:rPr>
                <w:rFonts w:ascii="宋体" w:hAnsi="宋体"/>
                <w:color w:val="auto"/>
                <w:szCs w:val="21"/>
              </w:rPr>
              <w:t>。</w:t>
            </w:r>
          </w:p>
          <w:p>
            <w:pPr>
              <w:spacing w:before="156" w:beforeLines="50" w:line="320" w:lineRule="exact"/>
              <w:rPr>
                <w:rFonts w:ascii="宋体" w:hAnsi="宋体"/>
                <w:bCs/>
                <w:szCs w:val="21"/>
              </w:rPr>
            </w:pPr>
            <w:r>
              <w:rPr>
                <w:rFonts w:hint="eastAsia" w:ascii="宋体" w:hAnsi="宋体"/>
                <w:bCs/>
                <w:color w:val="auto"/>
                <w:szCs w:val="21"/>
              </w:rPr>
              <w:t>评审依据：投标人提供合同原件（备查</w:t>
            </w:r>
            <w:r>
              <w:rPr>
                <w:rFonts w:hint="eastAsia" w:ascii="宋体" w:hAnsi="宋体"/>
                <w:bCs/>
                <w:szCs w:val="21"/>
              </w:rPr>
              <w:t>），并同时在投标文件中提供复印件，不提供不得分。</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企业</w:t>
            </w:r>
            <w:r>
              <w:rPr>
                <w:rFonts w:ascii="Times New Roman" w:hAnsi="Times New Roman" w:eastAsia="宋体" w:cs="Times New Roman"/>
                <w:szCs w:val="21"/>
              </w:rPr>
              <w:t>资质</w:t>
            </w:r>
          </w:p>
        </w:tc>
        <w:tc>
          <w:tcPr>
            <w:tcW w:w="567" w:type="dxa"/>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4668"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1.所投品牌设备制造商企业</w:t>
            </w:r>
            <w:r>
              <w:rPr>
                <w:rFonts w:hint="eastAsia" w:ascii="Times New Roman" w:hAnsi="Times New Roman" w:eastAsia="宋体" w:cs="Times New Roman"/>
                <w:szCs w:val="21"/>
              </w:rPr>
              <w:t>获得质量管理体系认证证书的</w:t>
            </w:r>
            <w:r>
              <w:rPr>
                <w:rFonts w:ascii="Times New Roman" w:hAnsi="Times New Roman" w:eastAsia="宋体" w:cs="Times New Roman"/>
                <w:szCs w:val="21"/>
              </w:rPr>
              <w:t>得1分；2.所投品牌设备制造商企业</w:t>
            </w:r>
            <w:r>
              <w:rPr>
                <w:rFonts w:hint="eastAsia" w:ascii="Times New Roman" w:hAnsi="Times New Roman" w:eastAsia="宋体" w:cs="Times New Roman"/>
                <w:szCs w:val="21"/>
              </w:rPr>
              <w:t>获得环境管理体系认证证书</w:t>
            </w:r>
            <w:r>
              <w:rPr>
                <w:rFonts w:ascii="Times New Roman" w:hAnsi="Times New Roman" w:eastAsia="宋体" w:cs="Times New Roman"/>
                <w:szCs w:val="21"/>
              </w:rPr>
              <w:t>的得1分；3.</w:t>
            </w:r>
            <w:r>
              <w:rPr>
                <w:rFonts w:ascii="Calibri" w:hAnsi="Calibri" w:eastAsia="宋体" w:cs="Times New Roman"/>
              </w:rPr>
              <w:t>所投品牌设备制造商企业</w:t>
            </w:r>
            <w:r>
              <w:rPr>
                <w:rFonts w:hint="eastAsia" w:ascii="Calibri" w:hAnsi="Calibri" w:eastAsia="宋体" w:cs="Times New Roman"/>
              </w:rPr>
              <w:t>获得</w:t>
            </w:r>
            <w:r>
              <w:rPr>
                <w:rFonts w:hint="eastAsia" w:ascii="Times New Roman" w:hAnsi="Times New Roman" w:eastAsia="宋体" w:cs="Times New Roman"/>
                <w:szCs w:val="21"/>
              </w:rPr>
              <w:t>职业健康安全管理体系认证</w:t>
            </w:r>
          </w:p>
          <w:p>
            <w:pPr>
              <w:adjustRightInd w:val="0"/>
              <w:snapToGrid w:val="0"/>
              <w:spacing w:line="276" w:lineRule="auto"/>
              <w:rPr>
                <w:rFonts w:ascii="Times New Roman" w:hAnsi="Times New Roman" w:eastAsia="宋体" w:cs="Times New Roman"/>
                <w:szCs w:val="21"/>
              </w:rPr>
            </w:pPr>
            <w:r>
              <w:rPr>
                <w:rFonts w:hint="eastAsia" w:ascii="Times New Roman" w:hAnsi="Times New Roman" w:eastAsia="宋体" w:cs="Times New Roman"/>
                <w:szCs w:val="21"/>
              </w:rPr>
              <w:t>证书</w:t>
            </w:r>
            <w:r>
              <w:rPr>
                <w:rFonts w:ascii="Times New Roman" w:hAnsi="Times New Roman" w:eastAsia="宋体" w:cs="Times New Roman"/>
                <w:szCs w:val="21"/>
              </w:rPr>
              <w:t>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售后服务及技术支持</w:t>
            </w:r>
          </w:p>
        </w:tc>
        <w:tc>
          <w:tcPr>
            <w:tcW w:w="567" w:type="dxa"/>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4668"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w:t>
            </w:r>
            <w:r>
              <w:rPr>
                <w:rFonts w:hint="eastAsia" w:ascii="Times New Roman" w:hAnsi="Times New Roman" w:eastAsia="宋体" w:cs="Times New Roman"/>
                <w:szCs w:val="21"/>
              </w:rPr>
              <w:t>1</w:t>
            </w:r>
            <w:r>
              <w:rPr>
                <w:rFonts w:ascii="Times New Roman" w:hAnsi="Times New Roman" w:eastAsia="宋体" w:cs="Times New Roman"/>
                <w:szCs w:val="21"/>
              </w:rPr>
              <w:t>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综合比较报价人售后服务</w:t>
            </w:r>
            <w:r>
              <w:rPr>
                <w:rFonts w:hint="eastAsia" w:ascii="Times New Roman" w:hAnsi="Times New Roman" w:eastAsia="宋体" w:cs="Times New Roman"/>
                <w:szCs w:val="21"/>
              </w:rPr>
              <w:t>便利性</w:t>
            </w:r>
            <w:r>
              <w:rPr>
                <w:rFonts w:ascii="Times New Roman" w:hAnsi="Times New Roman" w:eastAsia="宋体" w:cs="Times New Roman"/>
                <w:szCs w:val="21"/>
              </w:rPr>
              <w:t>及培训、现场指导等技术支持方案的完备程度等因素加0—</w:t>
            </w:r>
            <w:r>
              <w:rPr>
                <w:rFonts w:hint="eastAsia" w:ascii="Times New Roman" w:hAnsi="Times New Roman" w:eastAsia="宋体" w:cs="Times New Roman"/>
                <w:szCs w:val="21"/>
              </w:rPr>
              <w:t>1</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60"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825"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850" w:type="dxa"/>
            <w:vAlign w:val="center"/>
          </w:tcPr>
          <w:p>
            <w:pPr>
              <w:spacing w:line="380" w:lineRule="atLeast"/>
              <w:jc w:val="right"/>
              <w:rPr>
                <w:rFonts w:ascii="Times New Roman" w:hAnsi="Times New Roman" w:eastAsia="宋体" w:cs="Times New Roman"/>
                <w:szCs w:val="21"/>
              </w:rPr>
            </w:pP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c>
          <w:tcPr>
            <w:tcW w:w="6369" w:type="dxa"/>
            <w:gridSpan w:val="3"/>
            <w:shd w:val="clear" w:color="auto" w:fill="auto"/>
          </w:tcPr>
          <w:p>
            <w:pPr>
              <w:spacing w:line="380" w:lineRule="atLeast"/>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4" w:type="dxa"/>
            <w:gridSpan w:val="6"/>
            <w:vAlign w:val="center"/>
          </w:tcPr>
          <w:p>
            <w:pPr>
              <w:spacing w:line="360" w:lineRule="atLeast"/>
              <w:rPr>
                <w:rFonts w:ascii="Times New Roman" w:hAnsi="Times New Roman" w:eastAsia="宋体" w:cs="Times New Roman"/>
                <w:szCs w:val="21"/>
                <w:highlight w:val="green"/>
              </w:rPr>
            </w:pPr>
            <w:r>
              <w:rPr>
                <w:rFonts w:ascii="Times New Roman" w:hAnsi="Times New Roman" w:eastAsia="宋体" w:cs="Times New Roman"/>
                <w:szCs w:val="21"/>
                <w:highlight w:val="green"/>
              </w:rPr>
              <w:t>需要补充的其他内容：</w:t>
            </w:r>
            <w:r>
              <w:rPr>
                <w:rFonts w:hint="eastAsia" w:ascii="Times New Roman" w:hAnsi="Times New Roman" w:eastAsia="宋体" w:cs="Times New Roman"/>
                <w:szCs w:val="21"/>
                <w:highlight w:val="green"/>
              </w:rPr>
              <w:t>响应技术性能需后注页码</w:t>
            </w:r>
            <w:r>
              <w:rPr>
                <w:rFonts w:hint="eastAsia" w:ascii="Times New Roman" w:hAnsi="Times New Roman" w:eastAsia="宋体" w:cs="Times New Roman"/>
                <w:szCs w:val="21"/>
                <w:highlight w:val="green"/>
                <w:lang w:eastAsia="zh-CN"/>
              </w:rPr>
              <w:t>标注参数是否响应</w:t>
            </w:r>
            <w:r>
              <w:rPr>
                <w:rFonts w:hint="eastAsia" w:ascii="Times New Roman" w:hAnsi="Times New Roman" w:eastAsia="宋体" w:cs="Times New Roman"/>
                <w:szCs w:val="21"/>
                <w:highlight w:val="green"/>
              </w:rPr>
              <w:t>以便查阅！</w:t>
            </w:r>
          </w:p>
          <w:p>
            <w:pPr>
              <w:spacing w:line="360" w:lineRule="atLeast"/>
              <w:rPr>
                <w:rFonts w:ascii="Times New Roman" w:hAnsi="Times New Roman" w:eastAsia="宋体" w:cs="Times New Roman"/>
                <w:szCs w:val="21"/>
              </w:rPr>
            </w:pPr>
            <w:r>
              <w:rPr>
                <w:rFonts w:ascii="Times New Roman" w:hAnsi="Times New Roman" w:eastAsia="宋体" w:cs="Times New Roman"/>
                <w:szCs w:val="21"/>
              </w:rPr>
              <w:t>……</w:t>
            </w:r>
          </w:p>
        </w:tc>
      </w:tr>
    </w:tbl>
    <w:p>
      <w:pPr>
        <w:widowControl/>
        <w:jc w:val="left"/>
        <w:rPr>
          <w:rFonts w:ascii="Times New Roman" w:hAnsi="Times New Roman" w:eastAsia="宋体" w:cs="Times New Roman"/>
          <w:szCs w:val="21"/>
        </w:rPr>
      </w:pP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210" w:firstLineChars="1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w:t>
      </w:r>
      <w:r>
        <w:rPr>
          <w:rFonts w:hint="eastAsia" w:ascii="Times New Roman" w:hAnsi="Times New Roman" w:eastAsia="宋体" w:cs="Times New Roman"/>
        </w:rPr>
        <w:t>登记</w:t>
      </w:r>
      <w:r>
        <w:rPr>
          <w:rFonts w:ascii="Times New Roman" w:hAnsi="Times New Roman" w:eastAsia="宋体" w:cs="Times New Roman"/>
        </w:rPr>
        <w:t>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3"/>
        <w:numPr>
          <w:ilvl w:val="0"/>
          <w:numId w:val="0"/>
        </w:numPr>
        <w:spacing w:before="312" w:after="312"/>
        <w:rPr>
          <w:rFonts w:ascii="Times New Roman" w:hAnsi="Times New Roman" w:eastAsia="宋体" w:cs="Times New Roman"/>
        </w:rPr>
      </w:pPr>
      <w:bookmarkStart w:id="76" w:name="_Toc10990_WPSOffice_Level1"/>
      <w:r>
        <w:rPr>
          <w:rFonts w:hint="eastAsia" w:ascii="Times New Roman" w:hAnsi="Times New Roman" w:eastAsia="宋体" w:cs="Times New Roman"/>
        </w:rPr>
        <w:t>第四章</w:t>
      </w:r>
      <w:r>
        <w:rPr>
          <w:rFonts w:ascii="Times New Roman" w:hAnsi="Times New Roman" w:eastAsia="宋体" w:cs="Times New Roman"/>
        </w:rPr>
        <w:t>合同内容</w:t>
      </w:r>
      <w:bookmarkEnd w:id="76"/>
    </w:p>
    <w:p>
      <w:pPr>
        <w:ind w:firstLine="3200" w:firstLineChars="1000"/>
        <w:rPr>
          <w:rFonts w:ascii="Times New Roman" w:hAnsi="Times New Roman" w:eastAsia="黑体" w:cs="Times New Roman"/>
          <w:sz w:val="32"/>
          <w:szCs w:val="32"/>
        </w:rPr>
      </w:pPr>
      <w:bookmarkStart w:id="77" w:name="_bookmark259"/>
      <w:bookmarkEnd w:id="77"/>
      <w:bookmarkStart w:id="78"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ind w:firstLine="7200" w:firstLineChars="3000"/>
        <w:rPr>
          <w:rFonts w:ascii="Times New Roman" w:hAnsi="Times New Roman" w:cs="Times New Roman"/>
          <w:sz w:val="24"/>
        </w:rPr>
      </w:pPr>
      <w:r>
        <w:rPr>
          <w:rFonts w:hint="eastAsia" w:ascii="Times New Roman" w:hAnsi="Times New Roman" w:cs="Times New Roman"/>
          <w:sz w:val="24"/>
        </w:rPr>
        <w:t>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根据《中华人民共和国民法典》及相关法律法规的规定，甲乙双方在平等、自愿、公平、协商一致的基础上，就甲方委托乙方提供</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甲方委托乙方提供</w:t>
      </w:r>
      <w:bookmarkEnd w:id="78"/>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单价</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0"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增值税：</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万</w:t>
            </w:r>
          </w:p>
        </w:tc>
        <w:tc>
          <w:tcPr>
            <w:tcW w:w="1420" w:type="dxa"/>
            <w:vAlign w:val="center"/>
          </w:tcPr>
          <w:p>
            <w:pPr>
              <w:spacing w:line="360" w:lineRule="auto"/>
              <w:jc w:val="center"/>
              <w:rPr>
                <w:rFonts w:ascii="Times New Roman" w:hAnsi="Times New Roman" w:cs="Times New Roman"/>
                <w:szCs w:val="21"/>
              </w:rPr>
            </w:pP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1.2上述费用包括了为实施和完成合同所需的保险、车辆购置税、设计费、制造费、材料费、利润、税费、运输费、上牌费、验收、取证、培训、技术服务、损耗费、检测费、验收费、安装调试费、</w:t>
      </w:r>
      <w:r>
        <w:rPr>
          <w:rFonts w:hint="eastAsia" w:ascii="宋体" w:hAnsi="宋体" w:eastAsia="宋体" w:cs="宋体"/>
          <w:kern w:val="0"/>
          <w:szCs w:val="21"/>
        </w:rPr>
        <w:t>车辆购置附加费</w:t>
      </w:r>
      <w:r>
        <w:rPr>
          <w:rFonts w:hint="eastAsia" w:ascii="宋体" w:hAnsi="宋体" w:eastAsia="宋体" w:cs="宋体"/>
          <w:szCs w:val="21"/>
        </w:rPr>
        <w:t>等达到使用条件及质保期维护维修的一切费用，以及合同约定的所有责任、义务和一般风险。乙方届时应派出现场服务人员完成车辆的上牌工作，车辆上牌时所需上牌费。</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hint="eastAsia" w:ascii="Times New Roman" w:hAnsi="Times New Roman" w:cs="Times New Roman"/>
          <w:szCs w:val="21"/>
          <w:u w:val="single"/>
        </w:rPr>
        <w:t xml:space="preserve">  2年   </w:t>
      </w:r>
      <w:r>
        <w:rPr>
          <w:rFonts w:ascii="Times New Roman" w:hAnsi="Times New Roman" w:cs="Times New Roman"/>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hint="eastAsia" w:ascii="Times New Roman" w:hAnsi="Times New Roman" w:cs="Times New Roman"/>
          <w:szCs w:val="21"/>
          <w:u w:val="single"/>
        </w:rPr>
        <w:t>甲方指定</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hint="eastAsia" w:ascii="Times New Roman" w:hAnsi="Times New Roman" w:cs="Times New Roman"/>
          <w:szCs w:val="21"/>
        </w:rPr>
        <w:t>自年月日起至年月日止。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adjustRightInd w:val="0"/>
        <w:snapToGrid w:val="0"/>
        <w:spacing w:line="400" w:lineRule="atLeast"/>
        <w:ind w:firstLine="420" w:firstLineChars="200"/>
        <w:jc w:val="left"/>
        <w:rPr>
          <w:rFonts w:asciiTheme="minorEastAsia" w:hAnsiTheme="minorEastAsia" w:cstheme="minorEastAsia"/>
          <w:szCs w:val="21"/>
        </w:rPr>
      </w:pPr>
      <w:r>
        <w:rPr>
          <w:rFonts w:hint="eastAsia" w:asciiTheme="minorEastAsia" w:hAnsiTheme="minorEastAsia" w:cstheme="minorEastAsia"/>
          <w:color w:val="333333"/>
          <w:kern w:val="0"/>
          <w:szCs w:val="21"/>
        </w:rPr>
        <w:t>6.1所购车辆送到询价单位指定交付地点经验收合格并开具机动车销售增值税专用发票，</w:t>
      </w:r>
      <w:r>
        <w:rPr>
          <w:rFonts w:hint="eastAsia" w:asciiTheme="minorEastAsia" w:hAnsiTheme="minorEastAsia" w:cstheme="minorEastAsia"/>
          <w:szCs w:val="21"/>
        </w:rPr>
        <w:t>车辆交接验收完成后10个工作日内，按合</w:t>
      </w:r>
      <w:r>
        <w:rPr>
          <w:rFonts w:hint="eastAsia" w:asciiTheme="minorEastAsia" w:hAnsiTheme="minorEastAsia" w:cstheme="minorEastAsia"/>
          <w:color w:val="333333"/>
          <w:kern w:val="0"/>
          <w:szCs w:val="21"/>
        </w:rPr>
        <w:t>所购产品送到询价单位指定交付地点经验收合格并开具增值税专用发票，设备</w:t>
      </w:r>
      <w:r>
        <w:rPr>
          <w:rFonts w:hint="eastAsia" w:ascii="宋体" w:hAnsi="宋体" w:eastAsia="宋体" w:cs="宋体"/>
          <w:kern w:val="0"/>
          <w:szCs w:val="21"/>
        </w:rPr>
        <w:t>验收并调试运转合格后，并收到全额增值税发票，甲方财务部门以对公转账形式支付合同金额的95%，余下5%作为质保金。质保金期限（24个月），质保期内如发生质量问题（非买方原因），乙方需及时负责返修，否则甲方有权委托其它单位维修，费用从质保金中扣除，在质保期满后（24个月）甲方将剩余的保留金无息退还给乙方。</w:t>
      </w:r>
    </w:p>
    <w:p>
      <w:pPr>
        <w:pStyle w:val="6"/>
        <w:rPr>
          <w:rFonts w:asciiTheme="minorEastAsia" w:hAnsiTheme="minorEastAsia" w:cstheme="minorEastAsia"/>
          <w:szCs w:val="21"/>
        </w:rPr>
      </w:pPr>
      <w:r>
        <w:rPr>
          <w:rFonts w:hint="eastAsia" w:asciiTheme="minorEastAsia" w:hAnsiTheme="minorEastAsia" w:cstheme="minorEastAsia"/>
          <w:szCs w:val="21"/>
        </w:rPr>
        <w:t>6.2 付款账户</w:t>
      </w:r>
    </w:p>
    <w:p>
      <w:pPr>
        <w:pStyle w:val="7"/>
        <w:rPr>
          <w:rFonts w:asciiTheme="minorEastAsia" w:hAnsiTheme="minorEastAsia" w:cstheme="minorEastAsia"/>
          <w:szCs w:val="21"/>
        </w:rPr>
      </w:pPr>
      <w:r>
        <w:rPr>
          <w:rFonts w:hint="eastAsia" w:asciiTheme="minorEastAsia" w:hAnsiTheme="minorEastAsia" w:cstheme="minorEastAsia"/>
          <w:szCs w:val="21"/>
        </w:rPr>
        <w:t>账户名：</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账号：</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开户行：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盖章之日起生效。本合同及附件共页，一式</w:t>
      </w:r>
      <w:r>
        <w:rPr>
          <w:rFonts w:hint="eastAsia" w:ascii="Times New Roman" w:hAnsi="Times New Roman" w:cs="Times New Roman"/>
          <w:szCs w:val="21"/>
          <w:u w:val="single"/>
        </w:rPr>
        <w:t>四</w:t>
      </w:r>
      <w:r>
        <w:rPr>
          <w:rFonts w:ascii="Times New Roman" w:hAnsi="Times New Roman" w:cs="Times New Roman"/>
          <w:szCs w:val="21"/>
        </w:rPr>
        <w:t>份，具有同等法律效力，其中甲方</w:t>
      </w:r>
      <w:r>
        <w:rPr>
          <w:rFonts w:hint="eastAsia" w:ascii="Times New Roman" w:hAnsi="Times New Roman" w:cs="Times New Roman"/>
          <w:szCs w:val="21"/>
          <w:u w:val="single"/>
        </w:rPr>
        <w:t>贰</w:t>
      </w:r>
      <w:r>
        <w:rPr>
          <w:rFonts w:ascii="Times New Roman" w:hAnsi="Times New Roman" w:cs="Times New Roman"/>
          <w:szCs w:val="21"/>
        </w:rPr>
        <w:t>份，乙方</w:t>
      </w:r>
      <w:r>
        <w:rPr>
          <w:rFonts w:hint="eastAsia" w:ascii="Times New Roman" w:hAnsi="Times New Roman" w:cs="Times New Roman"/>
          <w:szCs w:val="21"/>
          <w:u w:val="single"/>
        </w:rPr>
        <w:t>贰</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lang w:val="en-US" w:eastAsia="zh-CN"/>
        </w:rPr>
        <w:t xml:space="preserve"> </w:t>
      </w:r>
      <w:r>
        <w:rPr>
          <w:rFonts w:ascii="Times New Roman" w:hAnsi="Times New Roman" w:cs="Times New Roman"/>
          <w:szCs w:val="21"/>
        </w:rPr>
        <w:t>月</w:t>
      </w:r>
      <w:r>
        <w:rPr>
          <w:rFonts w:hint="eastAsia" w:ascii="Times New Roman" w:hAnsi="Times New Roman" w:cs="Times New Roman"/>
          <w:szCs w:val="21"/>
          <w:lang w:val="en-US" w:eastAsia="zh-CN"/>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lang w:val="en-US" w:eastAsia="zh-CN"/>
        </w:rPr>
        <w:t xml:space="preserve"> </w:t>
      </w:r>
      <w:r>
        <w:rPr>
          <w:rFonts w:ascii="Times New Roman" w:hAnsi="Times New Roman" w:cs="Times New Roman"/>
          <w:szCs w:val="21"/>
        </w:rPr>
        <w:t>月</w:t>
      </w:r>
      <w:r>
        <w:rPr>
          <w:rFonts w:hint="eastAsia" w:ascii="Times New Roman" w:hAnsi="Times New Roman" w:cs="Times New Roman"/>
          <w:szCs w:val="21"/>
          <w:lang w:val="en-US" w:eastAsia="zh-CN"/>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2"/>
        <w:rPr>
          <w:rFonts w:ascii="Times New Roman" w:hAnsi="Times New Roman" w:cs="Times New Roman"/>
          <w:szCs w:val="21"/>
        </w:rPr>
      </w:pPr>
    </w:p>
    <w:p>
      <w:pPr>
        <w:pStyle w:val="3"/>
        <w:numPr>
          <w:ilvl w:val="0"/>
          <w:numId w:val="3"/>
        </w:numPr>
        <w:spacing w:before="312" w:after="312"/>
        <w:rPr>
          <w:rFonts w:ascii="Times New Roman" w:hAnsi="Times New Roman" w:eastAsia="宋体" w:cs="Times New Roman"/>
        </w:rPr>
      </w:pPr>
      <w:r>
        <w:rPr>
          <w:rFonts w:ascii="Times New Roman" w:hAnsi="Times New Roman" w:eastAsia="宋体" w:cs="Times New Roman"/>
        </w:rPr>
        <w:t>采购需求及清单</w:t>
      </w:r>
    </w:p>
    <w:tbl>
      <w:tblPr>
        <w:tblStyle w:val="13"/>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685"/>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4678" w:type="dxa"/>
            <w:gridSpan w:val="2"/>
            <w:tcBorders>
              <w:top w:val="single" w:color="auto" w:sz="4" w:space="0"/>
              <w:left w:val="single" w:color="auto" w:sz="4" w:space="0"/>
              <w:bottom w:val="single" w:color="auto" w:sz="4" w:space="0"/>
              <w:right w:val="single" w:color="auto" w:sz="4" w:space="0"/>
            </w:tcBorders>
            <w:noWrap/>
          </w:tcPr>
          <w:p>
            <w:pPr>
              <w:spacing w:line="440" w:lineRule="exact"/>
              <w:rPr>
                <w:rFonts w:ascii="宋体" w:hAnsi="宋体"/>
                <w:sz w:val="24"/>
              </w:rPr>
            </w:pPr>
            <w:r>
              <w:rPr>
                <w:rFonts w:hint="eastAsia" w:ascii="宋体"/>
                <w:sz w:val="24"/>
              </w:rPr>
              <w:t>★</w:t>
            </w:r>
            <w:r>
              <w:rPr>
                <w:rFonts w:hint="eastAsia" w:ascii="宋体" w:hAnsi="宋体"/>
                <w:sz w:val="24"/>
              </w:rPr>
              <w:t>底盘型号</w:t>
            </w:r>
          </w:p>
        </w:tc>
        <w:tc>
          <w:tcPr>
            <w:tcW w:w="4394"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宋体"/>
                <w:sz w:val="24"/>
              </w:rPr>
            </w:pPr>
            <w:r>
              <w:rPr>
                <w:rFonts w:hint="eastAsia" w:ascii="宋体"/>
                <w:sz w:val="24"/>
              </w:rPr>
              <w:t>福田</w:t>
            </w:r>
            <w:r>
              <w:rPr>
                <w:rFonts w:ascii="宋体"/>
                <w:sz w:val="24"/>
              </w:rPr>
              <w:t>BJ1166VKPFK-1M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93" w:type="dxa"/>
            <w:vMerge w:val="restart"/>
            <w:noWrap/>
            <w:vAlign w:val="center"/>
          </w:tcPr>
          <w:p>
            <w:pPr>
              <w:spacing w:line="500" w:lineRule="exact"/>
              <w:jc w:val="center"/>
              <w:rPr>
                <w:rFonts w:ascii="宋体"/>
                <w:sz w:val="24"/>
              </w:rPr>
            </w:pPr>
            <w:r>
              <w:rPr>
                <w:rFonts w:hint="eastAsia" w:ascii="宋体"/>
                <w:sz w:val="24"/>
              </w:rPr>
              <w:t>空 载（</w:t>
            </w:r>
            <w:r>
              <w:rPr>
                <w:rFonts w:ascii="宋体"/>
                <w:sz w:val="24"/>
              </w:rPr>
              <w:t>kg</w:t>
            </w:r>
            <w:r>
              <w:rPr>
                <w:rFonts w:hint="eastAsia" w:ascii="宋体"/>
                <w:sz w:val="24"/>
              </w:rPr>
              <w:t>）</w:t>
            </w:r>
          </w:p>
        </w:tc>
        <w:tc>
          <w:tcPr>
            <w:tcW w:w="3685" w:type="dxa"/>
            <w:noWrap/>
            <w:vAlign w:val="center"/>
          </w:tcPr>
          <w:p>
            <w:pPr>
              <w:spacing w:line="500" w:lineRule="exact"/>
              <w:rPr>
                <w:rFonts w:ascii="宋体"/>
                <w:sz w:val="24"/>
              </w:rPr>
            </w:pPr>
            <w:r>
              <w:rPr>
                <w:rFonts w:hint="eastAsia" w:ascii="宋体"/>
                <w:sz w:val="24"/>
              </w:rPr>
              <w:t>★整备质量</w:t>
            </w:r>
            <w:r>
              <w:rPr>
                <w:rFonts w:hint="eastAsia" w:cs="宋体" w:asciiTheme="majorEastAsia" w:hAnsiTheme="majorEastAsia" w:eastAsiaTheme="majorEastAsia"/>
                <w:sz w:val="18"/>
                <w:szCs w:val="18"/>
              </w:rPr>
              <w:t>≥</w:t>
            </w:r>
          </w:p>
        </w:tc>
        <w:tc>
          <w:tcPr>
            <w:tcW w:w="4394" w:type="dxa"/>
            <w:noWrap/>
            <w:vAlign w:val="center"/>
          </w:tcPr>
          <w:p>
            <w:pPr>
              <w:spacing w:line="500" w:lineRule="exact"/>
              <w:jc w:val="center"/>
              <w:rPr>
                <w:rFonts w:ascii="宋体"/>
                <w:sz w:val="24"/>
              </w:rPr>
            </w:pPr>
            <w:r>
              <w:rPr>
                <w:rFonts w:hint="eastAsia" w:ascii="宋体"/>
                <w:sz w:val="24"/>
              </w:rPr>
              <w:t>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93" w:type="dxa"/>
            <w:vMerge w:val="continue"/>
            <w:noWrap/>
          </w:tcPr>
          <w:p>
            <w:pPr>
              <w:spacing w:line="500" w:lineRule="exact"/>
              <w:jc w:val="center"/>
              <w:rPr>
                <w:rFonts w:ascii="宋体"/>
                <w:sz w:val="24"/>
              </w:rPr>
            </w:pPr>
          </w:p>
        </w:tc>
        <w:tc>
          <w:tcPr>
            <w:tcW w:w="3685" w:type="dxa"/>
            <w:noWrap/>
          </w:tcPr>
          <w:p>
            <w:pPr>
              <w:spacing w:line="480" w:lineRule="exact"/>
              <w:rPr>
                <w:rFonts w:ascii="宋体"/>
                <w:sz w:val="24"/>
              </w:rPr>
            </w:pPr>
            <w:r>
              <w:rPr>
                <w:rFonts w:hint="eastAsia" w:ascii="宋体"/>
                <w:sz w:val="24"/>
              </w:rPr>
              <w:t>前轴/后轴</w:t>
            </w:r>
            <w:r>
              <w:rPr>
                <w:rFonts w:hint="eastAsia" w:cs="宋体" w:asciiTheme="majorEastAsia" w:hAnsiTheme="majorEastAsia" w:eastAsiaTheme="majorEastAsia"/>
                <w:sz w:val="18"/>
                <w:szCs w:val="18"/>
              </w:rPr>
              <w:t>≥</w:t>
            </w:r>
          </w:p>
        </w:tc>
        <w:tc>
          <w:tcPr>
            <w:tcW w:w="4394" w:type="dxa"/>
            <w:noWrap/>
            <w:vAlign w:val="center"/>
          </w:tcPr>
          <w:p>
            <w:pPr>
              <w:spacing w:line="500" w:lineRule="exact"/>
              <w:jc w:val="center"/>
              <w:rPr>
                <w:rFonts w:ascii="宋体"/>
                <w:sz w:val="24"/>
              </w:rPr>
            </w:pPr>
            <w:r>
              <w:rPr>
                <w:rFonts w:hint="eastAsia" w:ascii="宋体"/>
                <w:sz w:val="24"/>
              </w:rPr>
              <w:t>29</w:t>
            </w:r>
            <w:r>
              <w:rPr>
                <w:rFonts w:ascii="宋体"/>
                <w:sz w:val="24"/>
              </w:rPr>
              <w:t>00</w:t>
            </w:r>
            <w:r>
              <w:rPr>
                <w:rFonts w:hint="eastAsia" w:ascii="宋体"/>
                <w:sz w:val="24"/>
              </w:rPr>
              <w:t>/65</w:t>
            </w:r>
            <w:r>
              <w:rPr>
                <w:rFonts w:ascii="宋体"/>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93" w:type="dxa"/>
            <w:vMerge w:val="restart"/>
            <w:noWrap/>
            <w:vAlign w:val="center"/>
          </w:tcPr>
          <w:p>
            <w:pPr>
              <w:spacing w:line="480" w:lineRule="exact"/>
              <w:jc w:val="center"/>
              <w:rPr>
                <w:rFonts w:ascii="宋体"/>
                <w:sz w:val="24"/>
              </w:rPr>
            </w:pPr>
            <w:r>
              <w:rPr>
                <w:rFonts w:hint="eastAsia" w:ascii="宋体"/>
                <w:sz w:val="24"/>
              </w:rPr>
              <w:t>满 载（</w:t>
            </w:r>
            <w:r>
              <w:rPr>
                <w:rFonts w:ascii="宋体"/>
                <w:sz w:val="24"/>
              </w:rPr>
              <w:t>kg</w:t>
            </w:r>
            <w:r>
              <w:rPr>
                <w:rFonts w:hint="eastAsia" w:ascii="宋体"/>
                <w:sz w:val="24"/>
              </w:rPr>
              <w:t>）</w:t>
            </w:r>
          </w:p>
        </w:tc>
        <w:tc>
          <w:tcPr>
            <w:tcW w:w="3685" w:type="dxa"/>
            <w:noWrap/>
            <w:vAlign w:val="center"/>
          </w:tcPr>
          <w:p>
            <w:pPr>
              <w:spacing w:line="480" w:lineRule="exact"/>
              <w:rPr>
                <w:rFonts w:ascii="宋体"/>
                <w:sz w:val="24"/>
              </w:rPr>
            </w:pPr>
            <w:r>
              <w:rPr>
                <w:rFonts w:hint="eastAsia" w:ascii="宋体"/>
                <w:sz w:val="24"/>
              </w:rPr>
              <w:t>最大总质量(含3人)</w:t>
            </w:r>
            <w:r>
              <w:rPr>
                <w:rFonts w:hint="eastAsia" w:cs="宋体" w:asciiTheme="majorEastAsia" w:hAnsiTheme="majorEastAsia" w:eastAsiaTheme="majorEastAsia"/>
                <w:sz w:val="18"/>
                <w:szCs w:val="18"/>
              </w:rPr>
              <w:t xml:space="preserve"> ≥</w:t>
            </w:r>
          </w:p>
        </w:tc>
        <w:tc>
          <w:tcPr>
            <w:tcW w:w="4394" w:type="dxa"/>
            <w:noWrap/>
            <w:vAlign w:val="center"/>
          </w:tcPr>
          <w:p>
            <w:pPr>
              <w:spacing w:line="500" w:lineRule="exact"/>
              <w:jc w:val="center"/>
              <w:rPr>
                <w:rFonts w:ascii="宋体"/>
                <w:sz w:val="24"/>
              </w:rPr>
            </w:pPr>
            <w:r>
              <w:rPr>
                <w:rFonts w:hint="eastAsia" w:ascii="宋体"/>
                <w:sz w:val="24"/>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0" w:hRule="atLeast"/>
        </w:trPr>
        <w:tc>
          <w:tcPr>
            <w:tcW w:w="993" w:type="dxa"/>
            <w:vMerge w:val="continue"/>
            <w:noWrap/>
            <w:vAlign w:val="center"/>
          </w:tcPr>
          <w:p>
            <w:pPr>
              <w:spacing w:line="480" w:lineRule="exact"/>
              <w:jc w:val="center"/>
              <w:rPr>
                <w:rFonts w:ascii="宋体"/>
                <w:sz w:val="24"/>
              </w:rPr>
            </w:pPr>
          </w:p>
        </w:tc>
        <w:tc>
          <w:tcPr>
            <w:tcW w:w="3685" w:type="dxa"/>
            <w:noWrap/>
          </w:tcPr>
          <w:p>
            <w:pPr>
              <w:spacing w:line="480" w:lineRule="exact"/>
              <w:rPr>
                <w:rFonts w:ascii="宋体"/>
                <w:sz w:val="24"/>
              </w:rPr>
            </w:pPr>
            <w:r>
              <w:rPr>
                <w:rFonts w:hint="eastAsia" w:ascii="宋体"/>
                <w:sz w:val="24"/>
              </w:rPr>
              <w:t>前轴/后轴</w:t>
            </w:r>
            <w:r>
              <w:rPr>
                <w:rFonts w:hint="eastAsia" w:cs="宋体" w:asciiTheme="majorEastAsia" w:hAnsiTheme="majorEastAsia" w:eastAsiaTheme="majorEastAsia"/>
                <w:sz w:val="18"/>
                <w:szCs w:val="18"/>
              </w:rPr>
              <w:t>≥</w:t>
            </w:r>
          </w:p>
        </w:tc>
        <w:tc>
          <w:tcPr>
            <w:tcW w:w="4394" w:type="dxa"/>
            <w:noWrap/>
            <w:vAlign w:val="center"/>
          </w:tcPr>
          <w:p>
            <w:pPr>
              <w:spacing w:line="500" w:lineRule="exact"/>
              <w:jc w:val="center"/>
              <w:rPr>
                <w:rFonts w:ascii="宋体"/>
                <w:sz w:val="24"/>
              </w:rPr>
            </w:pPr>
            <w:r>
              <w:rPr>
                <w:rFonts w:hint="eastAsia" w:ascii="宋体"/>
                <w:sz w:val="24"/>
              </w:rPr>
              <w:t>5600/10400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93" w:type="dxa"/>
            <w:vMerge w:val="restart"/>
            <w:noWrap/>
            <w:vAlign w:val="center"/>
          </w:tcPr>
          <w:p>
            <w:pPr>
              <w:spacing w:line="500" w:lineRule="exact"/>
              <w:ind w:right="-3"/>
              <w:jc w:val="center"/>
              <w:rPr>
                <w:rFonts w:ascii="宋体"/>
                <w:sz w:val="24"/>
              </w:rPr>
            </w:pPr>
            <w:r>
              <w:rPr>
                <w:rFonts w:hint="eastAsia" w:ascii="宋体"/>
                <w:sz w:val="24"/>
              </w:rPr>
              <w:t>外 廓</w:t>
            </w:r>
          </w:p>
          <w:p>
            <w:pPr>
              <w:spacing w:line="500" w:lineRule="exact"/>
              <w:ind w:right="-3"/>
              <w:jc w:val="center"/>
              <w:rPr>
                <w:rFonts w:ascii="宋体"/>
                <w:sz w:val="24"/>
              </w:rPr>
            </w:pPr>
            <w:r>
              <w:rPr>
                <w:rFonts w:hint="eastAsia" w:ascii="宋体"/>
                <w:sz w:val="24"/>
              </w:rPr>
              <w:t>尺 寸（</w:t>
            </w:r>
            <w:r>
              <w:rPr>
                <w:rFonts w:ascii="宋体"/>
                <w:sz w:val="24"/>
              </w:rPr>
              <w:t>mm</w:t>
            </w:r>
            <w:r>
              <w:rPr>
                <w:rFonts w:hint="eastAsia" w:ascii="宋体"/>
                <w:sz w:val="24"/>
              </w:rPr>
              <w:t>）</w:t>
            </w:r>
          </w:p>
        </w:tc>
        <w:tc>
          <w:tcPr>
            <w:tcW w:w="3685" w:type="dxa"/>
            <w:noWrap/>
          </w:tcPr>
          <w:p>
            <w:pPr>
              <w:spacing w:line="500" w:lineRule="exact"/>
              <w:rPr>
                <w:rFonts w:ascii="宋体"/>
                <w:sz w:val="24"/>
              </w:rPr>
            </w:pPr>
            <w:r>
              <w:rPr>
                <w:rFonts w:hint="eastAsia" w:ascii="宋体"/>
                <w:sz w:val="24"/>
              </w:rPr>
              <w:t>长</w:t>
            </w:r>
            <w:r>
              <w:rPr>
                <w:rFonts w:hint="eastAsia" w:cs="宋体" w:asciiTheme="majorEastAsia" w:hAnsiTheme="majorEastAsia" w:eastAsiaTheme="majorEastAsia"/>
                <w:sz w:val="18"/>
                <w:szCs w:val="18"/>
              </w:rPr>
              <w:t>≥</w:t>
            </w:r>
          </w:p>
        </w:tc>
        <w:tc>
          <w:tcPr>
            <w:tcW w:w="4394" w:type="dxa"/>
            <w:noWrap/>
          </w:tcPr>
          <w:p>
            <w:pPr>
              <w:spacing w:line="500" w:lineRule="exact"/>
              <w:jc w:val="center"/>
              <w:rPr>
                <w:rFonts w:ascii="宋体"/>
                <w:sz w:val="24"/>
              </w:rPr>
            </w:pPr>
            <w:r>
              <w:rPr>
                <w:rFonts w:hint="eastAsia" w:ascii="宋体"/>
                <w:sz w:val="24"/>
              </w:rPr>
              <w:t>97</w:t>
            </w:r>
            <w:r>
              <w:rPr>
                <w:rFonts w:ascii="宋体"/>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993" w:type="dxa"/>
            <w:vMerge w:val="continue"/>
            <w:noWrap/>
          </w:tcPr>
          <w:p>
            <w:pPr>
              <w:spacing w:line="500" w:lineRule="exact"/>
              <w:rPr>
                <w:rFonts w:ascii="宋体"/>
                <w:sz w:val="24"/>
              </w:rPr>
            </w:pPr>
          </w:p>
        </w:tc>
        <w:tc>
          <w:tcPr>
            <w:tcW w:w="3685" w:type="dxa"/>
            <w:noWrap/>
          </w:tcPr>
          <w:p>
            <w:pPr>
              <w:spacing w:line="500" w:lineRule="exact"/>
              <w:rPr>
                <w:rFonts w:ascii="宋体"/>
                <w:sz w:val="24"/>
              </w:rPr>
            </w:pPr>
            <w:r>
              <w:rPr>
                <w:rFonts w:hint="eastAsia" w:ascii="宋体"/>
                <w:sz w:val="24"/>
              </w:rPr>
              <w:t>宽</w:t>
            </w:r>
            <w:r>
              <w:rPr>
                <w:rFonts w:hint="eastAsia" w:cs="宋体" w:asciiTheme="majorEastAsia" w:hAnsiTheme="majorEastAsia" w:eastAsiaTheme="majorEastAsia"/>
                <w:sz w:val="18"/>
                <w:szCs w:val="18"/>
              </w:rPr>
              <w:t>≥</w:t>
            </w:r>
          </w:p>
        </w:tc>
        <w:tc>
          <w:tcPr>
            <w:tcW w:w="4394" w:type="dxa"/>
            <w:noWrap/>
          </w:tcPr>
          <w:p>
            <w:pPr>
              <w:spacing w:line="500" w:lineRule="exact"/>
              <w:jc w:val="center"/>
              <w:rPr>
                <w:rFonts w:ascii="宋体"/>
                <w:sz w:val="24"/>
              </w:rPr>
            </w:pPr>
            <w:r>
              <w:rPr>
                <w:rFonts w:hint="eastAsia" w:ascii="宋体"/>
                <w:sz w:val="24"/>
              </w:rPr>
              <w:t>255</w:t>
            </w:r>
            <w:r>
              <w:rPr>
                <w:rFonts w:ascii="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993" w:type="dxa"/>
            <w:vMerge w:val="continue"/>
            <w:noWrap/>
          </w:tcPr>
          <w:p>
            <w:pPr>
              <w:spacing w:line="500" w:lineRule="exact"/>
              <w:rPr>
                <w:rFonts w:ascii="宋体"/>
                <w:sz w:val="24"/>
              </w:rPr>
            </w:pPr>
          </w:p>
        </w:tc>
        <w:tc>
          <w:tcPr>
            <w:tcW w:w="3685" w:type="dxa"/>
            <w:noWrap/>
          </w:tcPr>
          <w:p>
            <w:pPr>
              <w:spacing w:line="500" w:lineRule="exact"/>
              <w:rPr>
                <w:rFonts w:ascii="宋体"/>
                <w:sz w:val="24"/>
              </w:rPr>
            </w:pPr>
            <w:r>
              <w:rPr>
                <w:rFonts w:hint="eastAsia" w:ascii="宋体"/>
                <w:sz w:val="24"/>
              </w:rPr>
              <w:t>高</w:t>
            </w:r>
            <w:r>
              <w:rPr>
                <w:rFonts w:hint="eastAsia" w:cs="宋体" w:asciiTheme="majorEastAsia" w:hAnsiTheme="majorEastAsia" w:eastAsiaTheme="majorEastAsia"/>
                <w:sz w:val="18"/>
                <w:szCs w:val="18"/>
              </w:rPr>
              <w:t>≥</w:t>
            </w:r>
          </w:p>
        </w:tc>
        <w:tc>
          <w:tcPr>
            <w:tcW w:w="4394" w:type="dxa"/>
            <w:noWrap/>
          </w:tcPr>
          <w:p>
            <w:pPr>
              <w:spacing w:line="500" w:lineRule="exact"/>
              <w:jc w:val="center"/>
              <w:rPr>
                <w:rFonts w:ascii="宋体"/>
                <w:sz w:val="24"/>
              </w:rPr>
            </w:pPr>
            <w:r>
              <w:rPr>
                <w:rFonts w:hint="eastAsia" w:ascii="宋体"/>
                <w:sz w:val="24"/>
              </w:rPr>
              <w:t>285</w:t>
            </w:r>
            <w:r>
              <w:rPr>
                <w:rFonts w:ascii="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4678" w:type="dxa"/>
            <w:gridSpan w:val="2"/>
            <w:noWrap/>
          </w:tcPr>
          <w:p>
            <w:pPr>
              <w:spacing w:line="480" w:lineRule="exact"/>
              <w:rPr>
                <w:rFonts w:ascii="宋体"/>
                <w:sz w:val="24"/>
              </w:rPr>
            </w:pPr>
            <w:r>
              <w:rPr>
                <w:rFonts w:hint="eastAsia" w:ascii="宋体"/>
                <w:sz w:val="24"/>
              </w:rPr>
              <w:t>★轴距（</w:t>
            </w:r>
            <w:r>
              <w:rPr>
                <w:rFonts w:ascii="宋体"/>
                <w:sz w:val="24"/>
              </w:rPr>
              <w:t>mm</w:t>
            </w:r>
            <w:r>
              <w:rPr>
                <w:rFonts w:hint="eastAsia" w:ascii="宋体"/>
                <w:sz w:val="24"/>
              </w:rPr>
              <w:t>）</w:t>
            </w:r>
          </w:p>
        </w:tc>
        <w:tc>
          <w:tcPr>
            <w:tcW w:w="4394" w:type="dxa"/>
            <w:noWrap/>
          </w:tcPr>
          <w:p>
            <w:pPr>
              <w:spacing w:line="480" w:lineRule="exact"/>
              <w:jc w:val="center"/>
              <w:rPr>
                <w:rFonts w:ascii="宋体"/>
                <w:sz w:val="24"/>
              </w:rPr>
            </w:pPr>
            <w:r>
              <w:rPr>
                <w:rFonts w:hint="eastAsia" w:ascii="宋体"/>
                <w:sz w:val="24"/>
              </w:rPr>
              <w:t>5150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4678" w:type="dxa"/>
            <w:gridSpan w:val="2"/>
            <w:noWrap/>
          </w:tcPr>
          <w:p>
            <w:pPr>
              <w:spacing w:line="480" w:lineRule="exact"/>
              <w:rPr>
                <w:rFonts w:ascii="宋体"/>
                <w:sz w:val="24"/>
              </w:rPr>
            </w:pPr>
            <w:r>
              <w:rPr>
                <w:rFonts w:hint="eastAsia" w:ascii="宋体"/>
                <w:sz w:val="24"/>
              </w:rPr>
              <w:t>轮距(前/后)(</w:t>
            </w:r>
            <w:r>
              <w:rPr>
                <w:rFonts w:ascii="宋体"/>
                <w:sz w:val="24"/>
              </w:rPr>
              <w:t>mm</w:t>
            </w:r>
            <w:r>
              <w:rPr>
                <w:rFonts w:hint="eastAsia" w:ascii="宋体"/>
                <w:sz w:val="24"/>
              </w:rPr>
              <w:t>)</w:t>
            </w:r>
            <w:r>
              <w:rPr>
                <w:rFonts w:hint="eastAsia" w:cs="宋体" w:asciiTheme="majorEastAsia" w:hAnsiTheme="majorEastAsia" w:eastAsiaTheme="majorEastAsia"/>
                <w:sz w:val="18"/>
                <w:szCs w:val="18"/>
              </w:rPr>
              <w:t xml:space="preserve"> ≥</w:t>
            </w:r>
          </w:p>
        </w:tc>
        <w:tc>
          <w:tcPr>
            <w:tcW w:w="4394" w:type="dxa"/>
            <w:noWrap/>
          </w:tcPr>
          <w:p>
            <w:pPr>
              <w:spacing w:line="480" w:lineRule="exact"/>
              <w:jc w:val="center"/>
              <w:rPr>
                <w:rFonts w:ascii="宋体"/>
                <w:sz w:val="24"/>
              </w:rPr>
            </w:pPr>
            <w:r>
              <w:rPr>
                <w:rFonts w:hint="eastAsia" w:ascii="宋体"/>
                <w:sz w:val="24"/>
              </w:rPr>
              <w:t>1970/1800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rPr>
        <w:tc>
          <w:tcPr>
            <w:tcW w:w="4678" w:type="dxa"/>
            <w:gridSpan w:val="2"/>
            <w:noWrap/>
          </w:tcPr>
          <w:p>
            <w:pPr>
              <w:spacing w:line="480" w:lineRule="exact"/>
              <w:rPr>
                <w:rFonts w:ascii="宋体"/>
                <w:sz w:val="24"/>
              </w:rPr>
            </w:pPr>
            <w:r>
              <w:rPr>
                <w:rFonts w:hint="eastAsia" w:ascii="宋体"/>
                <w:sz w:val="24"/>
              </w:rPr>
              <w:t>前悬/后悬(</w:t>
            </w:r>
            <w:r>
              <w:rPr>
                <w:rFonts w:ascii="宋体"/>
                <w:sz w:val="24"/>
              </w:rPr>
              <w:t>mm</w:t>
            </w:r>
            <w:r>
              <w:rPr>
                <w:rFonts w:hint="eastAsia" w:ascii="宋体"/>
                <w:sz w:val="24"/>
              </w:rPr>
              <w:t>)</w:t>
            </w:r>
            <w:r>
              <w:rPr>
                <w:rFonts w:hint="eastAsia" w:cs="宋体" w:asciiTheme="majorEastAsia" w:hAnsiTheme="majorEastAsia" w:eastAsiaTheme="majorEastAsia"/>
                <w:sz w:val="18"/>
                <w:szCs w:val="18"/>
              </w:rPr>
              <w:t xml:space="preserve"> ≥</w:t>
            </w:r>
          </w:p>
        </w:tc>
        <w:tc>
          <w:tcPr>
            <w:tcW w:w="4394" w:type="dxa"/>
            <w:noWrap/>
          </w:tcPr>
          <w:p>
            <w:pPr>
              <w:spacing w:line="480" w:lineRule="exact"/>
              <w:jc w:val="center"/>
              <w:rPr>
                <w:rFonts w:ascii="宋体"/>
                <w:sz w:val="24"/>
              </w:rPr>
            </w:pPr>
            <w:r>
              <w:rPr>
                <w:rFonts w:ascii="宋体"/>
                <w:sz w:val="24"/>
              </w:rPr>
              <w:t>1270</w:t>
            </w:r>
            <w:r>
              <w:rPr>
                <w:rFonts w:hint="eastAsia" w:ascii="宋体"/>
                <w:sz w:val="24"/>
              </w:rPr>
              <w:t>/33</w:t>
            </w:r>
            <w:r>
              <w:rPr>
                <w:rFonts w:ascii="宋体"/>
                <w:sz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4678" w:type="dxa"/>
            <w:gridSpan w:val="2"/>
            <w:noWrap/>
          </w:tcPr>
          <w:p>
            <w:pPr>
              <w:spacing w:line="480" w:lineRule="exact"/>
              <w:rPr>
                <w:rFonts w:ascii="宋体"/>
                <w:sz w:val="24"/>
              </w:rPr>
            </w:pPr>
            <w:r>
              <w:rPr>
                <w:rFonts w:hint="eastAsia" w:ascii="宋体"/>
                <w:sz w:val="24"/>
              </w:rPr>
              <w:t>接近/离去角（°）</w:t>
            </w:r>
            <w:r>
              <w:rPr>
                <w:rFonts w:hint="eastAsia" w:cs="宋体" w:asciiTheme="majorEastAsia" w:hAnsiTheme="majorEastAsia" w:eastAsiaTheme="majorEastAsia"/>
                <w:sz w:val="18"/>
                <w:szCs w:val="18"/>
              </w:rPr>
              <w:t>≥</w:t>
            </w:r>
          </w:p>
        </w:tc>
        <w:tc>
          <w:tcPr>
            <w:tcW w:w="4394" w:type="dxa"/>
            <w:noWrap/>
          </w:tcPr>
          <w:p>
            <w:pPr>
              <w:spacing w:line="480" w:lineRule="exact"/>
              <w:jc w:val="center"/>
              <w:rPr>
                <w:rFonts w:ascii="宋体"/>
                <w:sz w:val="24"/>
              </w:rPr>
            </w:pPr>
            <w:r>
              <w:rPr>
                <w:rFonts w:hint="eastAsia" w:ascii="宋体"/>
                <w:sz w:val="24"/>
              </w:rPr>
              <w:t>18/11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4678" w:type="dxa"/>
            <w:gridSpan w:val="2"/>
            <w:noWrap/>
          </w:tcPr>
          <w:p>
            <w:pPr>
              <w:spacing w:line="480" w:lineRule="exact"/>
              <w:rPr>
                <w:rFonts w:ascii="宋体"/>
                <w:sz w:val="24"/>
              </w:rPr>
            </w:pPr>
            <w:r>
              <w:rPr>
                <w:rFonts w:hint="eastAsia" w:ascii="宋体"/>
                <w:sz w:val="24"/>
              </w:rPr>
              <w:t>★驱动形式</w:t>
            </w:r>
          </w:p>
        </w:tc>
        <w:tc>
          <w:tcPr>
            <w:tcW w:w="4394" w:type="dxa"/>
            <w:noWrap/>
          </w:tcPr>
          <w:p>
            <w:pPr>
              <w:spacing w:line="480" w:lineRule="exact"/>
              <w:jc w:val="center"/>
              <w:rPr>
                <w:rFonts w:ascii="宋体"/>
                <w:sz w:val="24"/>
              </w:rPr>
            </w:pPr>
            <w:r>
              <w:rPr>
                <w:rFonts w:ascii="宋体"/>
                <w:sz w:val="24"/>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4678" w:type="dxa"/>
            <w:gridSpan w:val="2"/>
            <w:noWrap/>
          </w:tcPr>
          <w:p>
            <w:pPr>
              <w:spacing w:line="480" w:lineRule="exact"/>
              <w:rPr>
                <w:rFonts w:ascii="宋体"/>
                <w:sz w:val="24"/>
              </w:rPr>
            </w:pPr>
            <w:r>
              <w:rPr>
                <w:rFonts w:hint="eastAsia" w:ascii="宋体"/>
                <w:sz w:val="24"/>
              </w:rPr>
              <w:t>★轮胎规格</w:t>
            </w:r>
          </w:p>
        </w:tc>
        <w:tc>
          <w:tcPr>
            <w:tcW w:w="4394" w:type="dxa"/>
            <w:noWrap/>
          </w:tcPr>
          <w:p>
            <w:pPr>
              <w:spacing w:line="480" w:lineRule="exact"/>
              <w:jc w:val="center"/>
              <w:rPr>
                <w:rFonts w:ascii="宋体"/>
                <w:sz w:val="24"/>
              </w:rPr>
            </w:pPr>
            <w:r>
              <w:rPr>
                <w:rFonts w:ascii="宋体"/>
                <w:sz w:val="24"/>
              </w:rPr>
              <w:t>9.00R20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678" w:type="dxa"/>
            <w:gridSpan w:val="2"/>
            <w:noWrap/>
          </w:tcPr>
          <w:p>
            <w:pPr>
              <w:spacing w:line="480" w:lineRule="exact"/>
              <w:rPr>
                <w:rFonts w:ascii="宋体"/>
                <w:sz w:val="24"/>
              </w:rPr>
            </w:pPr>
            <w:r>
              <w:rPr>
                <w:rFonts w:hint="eastAsia" w:ascii="宋体"/>
                <w:sz w:val="24"/>
              </w:rPr>
              <w:t>最高车速（</w:t>
            </w:r>
            <w:r>
              <w:rPr>
                <w:rFonts w:ascii="宋体"/>
                <w:sz w:val="24"/>
              </w:rPr>
              <w:t>km/h</w:t>
            </w:r>
            <w:r>
              <w:rPr>
                <w:rFonts w:hint="eastAsia" w:ascii="宋体"/>
                <w:sz w:val="24"/>
              </w:rPr>
              <w:t>）</w:t>
            </w:r>
            <w:r>
              <w:rPr>
                <w:rFonts w:hint="eastAsia" w:cs="宋体" w:asciiTheme="majorEastAsia" w:hAnsiTheme="majorEastAsia" w:eastAsiaTheme="majorEastAsia"/>
                <w:sz w:val="18"/>
                <w:szCs w:val="18"/>
              </w:rPr>
              <w:t>≥</w:t>
            </w:r>
          </w:p>
        </w:tc>
        <w:tc>
          <w:tcPr>
            <w:tcW w:w="4394" w:type="dxa"/>
            <w:noWrap/>
          </w:tcPr>
          <w:p>
            <w:pPr>
              <w:spacing w:line="480" w:lineRule="exact"/>
              <w:jc w:val="center"/>
              <w:rPr>
                <w:rFonts w:ascii="宋体"/>
                <w:sz w:val="24"/>
              </w:rPr>
            </w:pPr>
            <w:r>
              <w:rPr>
                <w:rFonts w:hint="eastAsia" w:ascii="宋体"/>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78" w:type="dxa"/>
            <w:gridSpan w:val="2"/>
            <w:noWrap/>
          </w:tcPr>
          <w:p>
            <w:pPr>
              <w:spacing w:line="480" w:lineRule="exact"/>
              <w:rPr>
                <w:rFonts w:ascii="宋体"/>
                <w:sz w:val="24"/>
              </w:rPr>
            </w:pPr>
            <w:r>
              <w:rPr>
                <w:rFonts w:hint="eastAsia" w:ascii="宋体"/>
                <w:sz w:val="24"/>
              </w:rPr>
              <w:t>爬坡能力（%）</w:t>
            </w:r>
            <w:r>
              <w:rPr>
                <w:rFonts w:hint="eastAsia" w:cs="宋体" w:asciiTheme="majorEastAsia" w:hAnsiTheme="majorEastAsia" w:eastAsiaTheme="majorEastAsia"/>
                <w:sz w:val="18"/>
                <w:szCs w:val="18"/>
              </w:rPr>
              <w:t>≥</w:t>
            </w:r>
          </w:p>
        </w:tc>
        <w:tc>
          <w:tcPr>
            <w:tcW w:w="4394" w:type="dxa"/>
            <w:noWrap/>
          </w:tcPr>
          <w:p>
            <w:pPr>
              <w:spacing w:line="480" w:lineRule="exact"/>
              <w:jc w:val="center"/>
              <w:rPr>
                <w:rFonts w:ascii="宋体"/>
                <w:sz w:val="24"/>
              </w:rPr>
            </w:pPr>
            <w:r>
              <w:rPr>
                <w:rFonts w:hint="eastAsia" w:ascii="宋体"/>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678" w:type="dxa"/>
            <w:gridSpan w:val="2"/>
            <w:noWrap/>
          </w:tcPr>
          <w:p>
            <w:pPr>
              <w:spacing w:line="480" w:lineRule="exact"/>
              <w:rPr>
                <w:rFonts w:ascii="宋体"/>
                <w:sz w:val="24"/>
              </w:rPr>
            </w:pPr>
            <w:r>
              <w:rPr>
                <w:rFonts w:hint="eastAsia" w:ascii="宋体"/>
                <w:sz w:val="24"/>
              </w:rPr>
              <w:t>最小转弯直径（</w:t>
            </w:r>
            <w:r>
              <w:rPr>
                <w:rFonts w:ascii="宋体"/>
                <w:sz w:val="24"/>
              </w:rPr>
              <w:t>m</w:t>
            </w:r>
            <w:r>
              <w:rPr>
                <w:rFonts w:hint="eastAsia" w:ascii="宋体"/>
                <w:sz w:val="24"/>
              </w:rPr>
              <w:t>）</w:t>
            </w:r>
            <w:r>
              <w:rPr>
                <w:rFonts w:hint="eastAsia" w:cs="宋体" w:asciiTheme="majorEastAsia" w:hAnsiTheme="majorEastAsia" w:eastAsiaTheme="majorEastAsia"/>
                <w:sz w:val="18"/>
                <w:szCs w:val="18"/>
              </w:rPr>
              <w:t>≥</w:t>
            </w:r>
          </w:p>
        </w:tc>
        <w:tc>
          <w:tcPr>
            <w:tcW w:w="4394" w:type="dxa"/>
            <w:noWrap/>
          </w:tcPr>
          <w:p>
            <w:pPr>
              <w:spacing w:line="480" w:lineRule="exact"/>
              <w:jc w:val="center"/>
              <w:rPr>
                <w:rFonts w:ascii="宋体"/>
                <w:sz w:val="24"/>
              </w:rPr>
            </w:pPr>
            <w:r>
              <w:rPr>
                <w:rFonts w:hint="eastAsia" w:ascii="宋体"/>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678" w:type="dxa"/>
            <w:gridSpan w:val="2"/>
            <w:noWrap/>
          </w:tcPr>
          <w:p>
            <w:pPr>
              <w:spacing w:line="480" w:lineRule="exact"/>
              <w:rPr>
                <w:rFonts w:ascii="宋体"/>
                <w:sz w:val="24"/>
              </w:rPr>
            </w:pPr>
            <w:r>
              <w:rPr>
                <w:rFonts w:hint="eastAsia" w:ascii="宋体"/>
                <w:sz w:val="24"/>
              </w:rPr>
              <w:t>最小离地间隙（</w:t>
            </w:r>
            <w:r>
              <w:rPr>
                <w:rFonts w:ascii="宋体"/>
                <w:sz w:val="24"/>
              </w:rPr>
              <w:t>mm</w:t>
            </w:r>
            <w:r>
              <w:rPr>
                <w:rFonts w:hint="eastAsia" w:ascii="宋体"/>
                <w:sz w:val="24"/>
              </w:rPr>
              <w:t>）</w:t>
            </w:r>
            <w:r>
              <w:rPr>
                <w:rFonts w:hint="eastAsia" w:cs="宋体" w:asciiTheme="majorEastAsia" w:hAnsiTheme="majorEastAsia" w:eastAsiaTheme="majorEastAsia"/>
                <w:sz w:val="18"/>
                <w:szCs w:val="18"/>
              </w:rPr>
              <w:t>≥</w:t>
            </w:r>
          </w:p>
        </w:tc>
        <w:tc>
          <w:tcPr>
            <w:tcW w:w="4394" w:type="dxa"/>
            <w:noWrap/>
          </w:tcPr>
          <w:p>
            <w:pPr>
              <w:spacing w:line="480" w:lineRule="exact"/>
              <w:jc w:val="center"/>
              <w:rPr>
                <w:rFonts w:ascii="宋体"/>
                <w:sz w:val="24"/>
              </w:rPr>
            </w:pPr>
            <w:r>
              <w:rPr>
                <w:rFonts w:hint="eastAsia" w:ascii="宋体"/>
                <w:sz w:val="24"/>
              </w:rPr>
              <w:t>2</w:t>
            </w:r>
            <w:r>
              <w:rPr>
                <w:rFonts w:ascii="宋体"/>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5" w:hRule="atLeast"/>
        </w:trPr>
        <w:tc>
          <w:tcPr>
            <w:tcW w:w="993" w:type="dxa"/>
            <w:vMerge w:val="restart"/>
            <w:noWrap/>
          </w:tcPr>
          <w:p>
            <w:pPr>
              <w:spacing w:line="500" w:lineRule="exact"/>
              <w:jc w:val="center"/>
              <w:rPr>
                <w:rFonts w:ascii="宋体"/>
                <w:sz w:val="24"/>
              </w:rPr>
            </w:pPr>
            <w:r>
              <w:rPr>
                <w:rFonts w:hint="eastAsia" w:ascii="宋体"/>
                <w:sz w:val="24"/>
              </w:rPr>
              <w:t>发</w:t>
            </w:r>
          </w:p>
          <w:p>
            <w:pPr>
              <w:spacing w:line="500" w:lineRule="exact"/>
              <w:jc w:val="center"/>
              <w:rPr>
                <w:rFonts w:ascii="宋体"/>
                <w:sz w:val="24"/>
              </w:rPr>
            </w:pPr>
            <w:r>
              <w:rPr>
                <w:rFonts w:hint="eastAsia" w:ascii="宋体"/>
                <w:sz w:val="24"/>
              </w:rPr>
              <w:t>动</w:t>
            </w:r>
          </w:p>
          <w:p>
            <w:pPr>
              <w:spacing w:line="500" w:lineRule="exact"/>
              <w:jc w:val="center"/>
              <w:rPr>
                <w:rFonts w:ascii="宋体"/>
                <w:sz w:val="24"/>
              </w:rPr>
            </w:pPr>
            <w:r>
              <w:rPr>
                <w:rFonts w:hint="eastAsia" w:ascii="宋体"/>
                <w:sz w:val="24"/>
              </w:rPr>
              <w:t>机</w:t>
            </w:r>
          </w:p>
        </w:tc>
        <w:tc>
          <w:tcPr>
            <w:tcW w:w="3685" w:type="dxa"/>
            <w:noWrap/>
          </w:tcPr>
          <w:p>
            <w:pPr>
              <w:spacing w:line="500" w:lineRule="exact"/>
              <w:rPr>
                <w:rFonts w:ascii="宋体"/>
                <w:sz w:val="24"/>
              </w:rPr>
            </w:pPr>
            <w:r>
              <w:rPr>
                <w:rFonts w:hint="eastAsia" w:ascii="宋体"/>
                <w:sz w:val="24"/>
              </w:rPr>
              <w:t>★型号</w:t>
            </w:r>
          </w:p>
        </w:tc>
        <w:tc>
          <w:tcPr>
            <w:tcW w:w="4394" w:type="dxa"/>
            <w:noWrap/>
          </w:tcPr>
          <w:p>
            <w:pPr>
              <w:spacing w:line="500" w:lineRule="exact"/>
              <w:jc w:val="center"/>
              <w:rPr>
                <w:rFonts w:ascii="宋体"/>
                <w:sz w:val="24"/>
              </w:rPr>
            </w:pPr>
            <w:r>
              <w:rPr>
                <w:rFonts w:ascii="宋体"/>
                <w:sz w:val="24"/>
              </w:rPr>
              <w:t>F4.5NS6B190</w:t>
            </w:r>
            <w:r>
              <w:rPr>
                <w:rFonts w:hint="eastAsia" w:ascii="宋体" w:hAnsi="宋体"/>
                <w:sz w:val="24"/>
              </w:rPr>
              <w:t>（国Ⅵ）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trPr>
        <w:tc>
          <w:tcPr>
            <w:tcW w:w="993" w:type="dxa"/>
            <w:vMerge w:val="continue"/>
            <w:noWrap/>
          </w:tcPr>
          <w:p>
            <w:pPr>
              <w:spacing w:line="500" w:lineRule="exact"/>
              <w:rPr>
                <w:rFonts w:ascii="宋体"/>
                <w:sz w:val="24"/>
              </w:rPr>
            </w:pPr>
          </w:p>
        </w:tc>
        <w:tc>
          <w:tcPr>
            <w:tcW w:w="3685" w:type="dxa"/>
            <w:noWrap/>
          </w:tcPr>
          <w:p>
            <w:pPr>
              <w:spacing w:line="500" w:lineRule="exact"/>
              <w:rPr>
                <w:rFonts w:ascii="宋体"/>
                <w:sz w:val="24"/>
              </w:rPr>
            </w:pPr>
            <w:r>
              <w:rPr>
                <w:rFonts w:hint="eastAsia" w:ascii="宋体"/>
                <w:sz w:val="24"/>
              </w:rPr>
              <w:t>★功率（</w:t>
            </w:r>
            <w:r>
              <w:rPr>
                <w:rFonts w:ascii="宋体"/>
                <w:sz w:val="24"/>
              </w:rPr>
              <w:t>k</w:t>
            </w:r>
            <w:r>
              <w:rPr>
                <w:rFonts w:hint="eastAsia" w:ascii="宋体"/>
                <w:sz w:val="24"/>
              </w:rPr>
              <w:t>W</w:t>
            </w:r>
            <w:r>
              <w:rPr>
                <w:rFonts w:ascii="宋体"/>
                <w:sz w:val="24"/>
              </w:rPr>
              <w:t>/r/min</w:t>
            </w:r>
            <w:r>
              <w:rPr>
                <w:rFonts w:hint="eastAsia" w:ascii="宋体"/>
                <w:sz w:val="24"/>
              </w:rPr>
              <w:t>）</w:t>
            </w:r>
          </w:p>
        </w:tc>
        <w:tc>
          <w:tcPr>
            <w:tcW w:w="4394" w:type="dxa"/>
            <w:noWrap/>
            <w:vAlign w:val="center"/>
          </w:tcPr>
          <w:p>
            <w:pPr>
              <w:spacing w:line="440" w:lineRule="exact"/>
              <w:jc w:val="center"/>
              <w:rPr>
                <w:rFonts w:ascii="宋体" w:hAnsi="宋体"/>
                <w:sz w:val="24"/>
              </w:rPr>
            </w:pPr>
            <w:r>
              <w:rPr>
                <w:rFonts w:hint="eastAsia" w:ascii="宋体" w:hAnsi="宋体"/>
                <w:sz w:val="24"/>
              </w:rPr>
              <w:t>140</w:t>
            </w:r>
            <w:r>
              <w:rPr>
                <w:rFonts w:ascii="宋体" w:hAnsi="宋体"/>
                <w:sz w:val="24"/>
              </w:rPr>
              <w:t>/2</w:t>
            </w:r>
            <w:r>
              <w:rPr>
                <w:rFonts w:hint="eastAsia" w:ascii="宋体" w:hAnsi="宋体"/>
                <w:sz w:val="24"/>
              </w:rPr>
              <w:t>3</w:t>
            </w:r>
            <w:r>
              <w:rPr>
                <w:rFonts w:ascii="宋体" w:hAnsi="宋体"/>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10" w:hRule="atLeast"/>
        </w:trPr>
        <w:tc>
          <w:tcPr>
            <w:tcW w:w="993" w:type="dxa"/>
            <w:vMerge w:val="continue"/>
            <w:noWrap/>
          </w:tcPr>
          <w:p>
            <w:pPr>
              <w:spacing w:line="500" w:lineRule="exact"/>
              <w:rPr>
                <w:rFonts w:ascii="宋体"/>
                <w:sz w:val="24"/>
              </w:rPr>
            </w:pPr>
          </w:p>
        </w:tc>
        <w:tc>
          <w:tcPr>
            <w:tcW w:w="3685" w:type="dxa"/>
            <w:noWrap/>
          </w:tcPr>
          <w:p>
            <w:pPr>
              <w:spacing w:line="500" w:lineRule="exact"/>
              <w:rPr>
                <w:rFonts w:ascii="宋体"/>
                <w:sz w:val="24"/>
              </w:rPr>
            </w:pPr>
            <w:r>
              <w:rPr>
                <w:rFonts w:hint="eastAsia" w:ascii="宋体"/>
                <w:sz w:val="24"/>
              </w:rPr>
              <w:t>扭矩（</w:t>
            </w:r>
            <w:r>
              <w:rPr>
                <w:rFonts w:ascii="宋体"/>
                <w:sz w:val="24"/>
              </w:rPr>
              <w:t>N</w:t>
            </w:r>
            <w:r>
              <w:rPr>
                <w:rFonts w:hint="eastAsia" w:ascii="宋体"/>
                <w:sz w:val="24"/>
              </w:rPr>
              <w:t>·</w:t>
            </w:r>
            <w:r>
              <w:rPr>
                <w:rFonts w:ascii="宋体"/>
                <w:sz w:val="24"/>
              </w:rPr>
              <w:t>m/r/min</w:t>
            </w:r>
            <w:r>
              <w:rPr>
                <w:rFonts w:hint="eastAsia" w:ascii="宋体"/>
                <w:sz w:val="24"/>
              </w:rPr>
              <w:t>）</w:t>
            </w:r>
            <w:r>
              <w:rPr>
                <w:rFonts w:hint="eastAsia" w:cs="宋体" w:asciiTheme="majorEastAsia" w:hAnsiTheme="majorEastAsia" w:eastAsiaTheme="majorEastAsia"/>
                <w:sz w:val="18"/>
                <w:szCs w:val="18"/>
              </w:rPr>
              <w:t>≥</w:t>
            </w:r>
          </w:p>
        </w:tc>
        <w:tc>
          <w:tcPr>
            <w:tcW w:w="4394" w:type="dxa"/>
            <w:noWrap/>
            <w:vAlign w:val="center"/>
          </w:tcPr>
          <w:p>
            <w:pPr>
              <w:spacing w:line="440" w:lineRule="exact"/>
              <w:jc w:val="center"/>
              <w:rPr>
                <w:rFonts w:ascii="宋体" w:hAnsi="宋体"/>
                <w:sz w:val="24"/>
              </w:rPr>
            </w:pPr>
            <w:r>
              <w:rPr>
                <w:rFonts w:hint="eastAsia" w:ascii="宋体" w:hAnsi="宋体"/>
                <w:sz w:val="24"/>
              </w:rPr>
              <w:t>700/1100-1800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4678" w:type="dxa"/>
            <w:gridSpan w:val="2"/>
            <w:noWrap/>
          </w:tcPr>
          <w:p>
            <w:pPr>
              <w:spacing w:line="440" w:lineRule="exact"/>
              <w:rPr>
                <w:rFonts w:ascii="宋体" w:hAnsi="宋体"/>
                <w:sz w:val="24"/>
              </w:rPr>
            </w:pPr>
            <w:r>
              <w:rPr>
                <w:rFonts w:hint="eastAsia" w:ascii="宋体" w:hAnsi="宋体"/>
                <w:sz w:val="24"/>
              </w:rPr>
              <w:t>油类</w:t>
            </w:r>
          </w:p>
        </w:tc>
        <w:tc>
          <w:tcPr>
            <w:tcW w:w="4394" w:type="dxa"/>
            <w:noWrap/>
          </w:tcPr>
          <w:p>
            <w:pPr>
              <w:spacing w:line="440" w:lineRule="exact"/>
              <w:jc w:val="center"/>
              <w:rPr>
                <w:rFonts w:ascii="宋体" w:hAnsi="宋体"/>
                <w:sz w:val="24"/>
              </w:rPr>
            </w:pPr>
            <w:r>
              <w:rPr>
                <w:rFonts w:hint="eastAsia" w:ascii="宋体" w:hAnsi="宋体"/>
                <w:sz w:val="24"/>
              </w:rPr>
              <w:t>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4678" w:type="dxa"/>
            <w:gridSpan w:val="2"/>
            <w:noWrap/>
          </w:tcPr>
          <w:p>
            <w:pPr>
              <w:spacing w:line="500" w:lineRule="exact"/>
              <w:rPr>
                <w:rFonts w:ascii="宋体"/>
                <w:sz w:val="24"/>
              </w:rPr>
            </w:pPr>
            <w:r>
              <w:rPr>
                <w:rFonts w:hint="eastAsia" w:ascii="宋体"/>
                <w:sz w:val="24"/>
              </w:rPr>
              <w:t>★最大托牵质量（</w:t>
            </w:r>
            <w:r>
              <w:rPr>
                <w:rFonts w:ascii="宋体"/>
                <w:sz w:val="24"/>
              </w:rPr>
              <w:t>kg</w:t>
            </w:r>
            <w:r>
              <w:rPr>
                <w:rFonts w:hint="eastAsia" w:ascii="宋体"/>
                <w:sz w:val="24"/>
              </w:rPr>
              <w:t>）</w:t>
            </w:r>
          </w:p>
        </w:tc>
        <w:tc>
          <w:tcPr>
            <w:tcW w:w="4394" w:type="dxa"/>
            <w:noWrap/>
          </w:tcPr>
          <w:p>
            <w:pPr>
              <w:spacing w:line="500" w:lineRule="exact"/>
              <w:jc w:val="center"/>
              <w:rPr>
                <w:rFonts w:ascii="宋体"/>
                <w:sz w:val="24"/>
              </w:rPr>
            </w:pPr>
            <w:r>
              <w:rPr>
                <w:rFonts w:hint="eastAsia" w:ascii="宋体"/>
                <w:sz w:val="24"/>
              </w:rPr>
              <w:t>16000</w:t>
            </w:r>
          </w:p>
        </w:tc>
      </w:tr>
    </w:tbl>
    <w:p>
      <w:pPr>
        <w:pStyle w:val="2"/>
        <w:rPr>
          <w:rFonts w:ascii="Times New Roman" w:hAnsi="Times New Roman" w:cs="Times New Roman"/>
          <w:szCs w:val="21"/>
        </w:rPr>
      </w:pPr>
    </w:p>
    <w:p>
      <w:pPr>
        <w:pStyle w:val="2"/>
        <w:rPr>
          <w:rFonts w:ascii="Times New Roman" w:hAnsi="Times New Roman" w:cs="Times New Roman"/>
          <w:szCs w:val="21"/>
        </w:rPr>
      </w:pPr>
    </w:p>
    <w:tbl>
      <w:tblPr>
        <w:tblStyle w:val="13"/>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4511"/>
        <w:gridCol w:w="3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5353" w:type="dxa"/>
            <w:gridSpan w:val="2"/>
          </w:tcPr>
          <w:p>
            <w:pPr>
              <w:spacing w:line="440" w:lineRule="exact"/>
              <w:rPr>
                <w:rFonts w:ascii="宋体" w:hAnsi="宋体"/>
                <w:sz w:val="24"/>
              </w:rPr>
            </w:pPr>
            <w:r>
              <w:rPr>
                <w:rFonts w:hint="eastAsia" w:ascii="宋体" w:hAnsi="宋体"/>
                <w:sz w:val="24"/>
              </w:rPr>
              <w:t>名    称</w:t>
            </w:r>
          </w:p>
        </w:tc>
        <w:tc>
          <w:tcPr>
            <w:tcW w:w="3785" w:type="dxa"/>
          </w:tcPr>
          <w:p>
            <w:pPr>
              <w:spacing w:line="440" w:lineRule="exact"/>
              <w:jc w:val="center"/>
              <w:rPr>
                <w:rFonts w:ascii="宋体" w:hAnsi="宋体"/>
                <w:sz w:val="24"/>
              </w:rPr>
            </w:pPr>
            <w:r>
              <w:rPr>
                <w:rFonts w:hint="eastAsia" w:ascii="宋体" w:hAnsi="宋体"/>
                <w:sz w:val="24"/>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5353" w:type="dxa"/>
            <w:gridSpan w:val="2"/>
          </w:tcPr>
          <w:p>
            <w:pPr>
              <w:spacing w:line="500" w:lineRule="exact"/>
              <w:rPr>
                <w:rFonts w:ascii="宋体"/>
                <w:sz w:val="24"/>
              </w:rPr>
            </w:pPr>
            <w:r>
              <w:rPr>
                <w:rFonts w:hint="eastAsia" w:ascii="宋体"/>
                <w:sz w:val="24"/>
              </w:rPr>
              <w:t>★上装型式</w:t>
            </w:r>
          </w:p>
        </w:tc>
        <w:tc>
          <w:tcPr>
            <w:tcW w:w="3785" w:type="dxa"/>
          </w:tcPr>
          <w:p>
            <w:pPr>
              <w:spacing w:line="500" w:lineRule="exact"/>
              <w:rPr>
                <w:rFonts w:ascii="宋体"/>
                <w:sz w:val="24"/>
              </w:rPr>
            </w:pPr>
            <w:r>
              <w:rPr>
                <w:rFonts w:ascii="宋体"/>
                <w:sz w:val="24"/>
              </w:rPr>
              <w:t>8</w:t>
            </w:r>
            <w:r>
              <w:rPr>
                <w:rFonts w:hint="eastAsia" w:ascii="宋体"/>
                <w:sz w:val="24"/>
              </w:rPr>
              <w:t>吨平板、板面为加强板、尾板竖立折叠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42" w:type="dxa"/>
            <w:vMerge w:val="restart"/>
            <w:vAlign w:val="center"/>
          </w:tcPr>
          <w:p>
            <w:pPr>
              <w:spacing w:line="440" w:lineRule="exact"/>
              <w:jc w:val="center"/>
              <w:rPr>
                <w:rFonts w:ascii="宋体" w:hAnsi="宋体"/>
                <w:sz w:val="24"/>
              </w:rPr>
            </w:pPr>
            <w:r>
              <w:rPr>
                <w:rFonts w:hint="eastAsia" w:ascii="宋体" w:hAnsi="宋体"/>
                <w:sz w:val="24"/>
              </w:rPr>
              <w:t>托</w:t>
            </w:r>
          </w:p>
          <w:p>
            <w:pPr>
              <w:spacing w:line="440" w:lineRule="exact"/>
              <w:jc w:val="center"/>
              <w:rPr>
                <w:rFonts w:ascii="宋体" w:hAnsi="宋体"/>
                <w:sz w:val="24"/>
              </w:rPr>
            </w:pPr>
            <w:r>
              <w:rPr>
                <w:rFonts w:hint="eastAsia" w:ascii="宋体" w:hAnsi="宋体"/>
                <w:sz w:val="24"/>
              </w:rPr>
              <w:t>举</w:t>
            </w:r>
          </w:p>
          <w:p>
            <w:pPr>
              <w:spacing w:line="440" w:lineRule="exact"/>
              <w:jc w:val="center"/>
              <w:rPr>
                <w:rFonts w:ascii="宋体" w:hAnsi="宋体"/>
                <w:sz w:val="24"/>
              </w:rPr>
            </w:pPr>
            <w:r>
              <w:rPr>
                <w:rFonts w:hint="eastAsia" w:ascii="宋体" w:hAnsi="宋体"/>
                <w:sz w:val="24"/>
              </w:rPr>
              <w:t>系</w:t>
            </w:r>
          </w:p>
          <w:p>
            <w:pPr>
              <w:spacing w:line="440" w:lineRule="exact"/>
              <w:jc w:val="center"/>
              <w:rPr>
                <w:rFonts w:ascii="宋体" w:hAnsi="宋体"/>
                <w:sz w:val="24"/>
              </w:rPr>
            </w:pPr>
            <w:r>
              <w:rPr>
                <w:rFonts w:hint="eastAsia" w:ascii="宋体" w:hAnsi="宋体"/>
                <w:sz w:val="24"/>
              </w:rPr>
              <w:t>统</w:t>
            </w:r>
          </w:p>
        </w:tc>
        <w:tc>
          <w:tcPr>
            <w:tcW w:w="4511" w:type="dxa"/>
          </w:tcPr>
          <w:p>
            <w:pPr>
              <w:spacing w:line="440" w:lineRule="exact"/>
              <w:rPr>
                <w:rFonts w:ascii="宋体" w:hAnsi="宋体"/>
                <w:sz w:val="24"/>
              </w:rPr>
            </w:pPr>
            <w:r>
              <w:rPr>
                <w:rFonts w:hint="eastAsia" w:ascii="宋体" w:hAnsi="宋体"/>
                <w:szCs w:val="21"/>
              </w:rPr>
              <w:t>★</w:t>
            </w:r>
            <w:r>
              <w:rPr>
                <w:rFonts w:hint="eastAsia" w:ascii="宋体" w:hAnsi="宋体"/>
                <w:sz w:val="24"/>
              </w:rPr>
              <w:t>最大托举质量（kg）</w:t>
            </w:r>
            <w:r>
              <w:rPr>
                <w:rFonts w:hint="eastAsia" w:cs="宋体" w:asciiTheme="majorEastAsia" w:hAnsiTheme="majorEastAsia" w:eastAsiaTheme="majorEastAsia"/>
                <w:sz w:val="18"/>
                <w:szCs w:val="18"/>
              </w:rPr>
              <w:t>≥</w:t>
            </w:r>
          </w:p>
        </w:tc>
        <w:tc>
          <w:tcPr>
            <w:tcW w:w="3785" w:type="dxa"/>
          </w:tcPr>
          <w:p>
            <w:pPr>
              <w:spacing w:line="440" w:lineRule="exact"/>
              <w:jc w:val="center"/>
              <w:rPr>
                <w:rFonts w:ascii="宋体" w:hAnsi="宋体"/>
                <w:color w:val="auto"/>
                <w:sz w:val="24"/>
              </w:rPr>
            </w:pPr>
            <w:r>
              <w:rPr>
                <w:rFonts w:hint="eastAsia" w:ascii="宋体" w:hAnsi="宋体"/>
                <w:color w:val="auto"/>
                <w:sz w:val="24"/>
              </w:rPr>
              <w:t>63</w:t>
            </w:r>
            <w:r>
              <w:rPr>
                <w:rFonts w:ascii="宋体" w:hAnsi="宋体"/>
                <w:color w:val="auto"/>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42" w:type="dxa"/>
            <w:vMerge w:val="continue"/>
          </w:tcPr>
          <w:p>
            <w:pPr>
              <w:spacing w:line="440" w:lineRule="exact"/>
              <w:jc w:val="center"/>
              <w:rPr>
                <w:rFonts w:ascii="宋体" w:hAnsi="宋体"/>
                <w:sz w:val="24"/>
              </w:rPr>
            </w:pPr>
          </w:p>
        </w:tc>
        <w:tc>
          <w:tcPr>
            <w:tcW w:w="4511" w:type="dxa"/>
          </w:tcPr>
          <w:p>
            <w:pPr>
              <w:spacing w:line="440" w:lineRule="exact"/>
              <w:rPr>
                <w:rFonts w:ascii="宋体" w:hAnsi="宋体"/>
                <w:sz w:val="24"/>
              </w:rPr>
            </w:pPr>
            <w:r>
              <w:rPr>
                <w:rFonts w:hint="eastAsia" w:ascii="宋体" w:hAnsi="宋体"/>
                <w:sz w:val="24"/>
              </w:rPr>
              <w:t>全伸出最大托举质量（kg）</w:t>
            </w:r>
            <w:r>
              <w:rPr>
                <w:rFonts w:hint="eastAsia" w:cs="宋体" w:asciiTheme="majorEastAsia" w:hAnsiTheme="majorEastAsia" w:eastAsiaTheme="majorEastAsia"/>
                <w:sz w:val="18"/>
                <w:szCs w:val="18"/>
              </w:rPr>
              <w:t>≥</w:t>
            </w:r>
          </w:p>
        </w:tc>
        <w:tc>
          <w:tcPr>
            <w:tcW w:w="3785" w:type="dxa"/>
          </w:tcPr>
          <w:p>
            <w:pPr>
              <w:spacing w:line="440" w:lineRule="exact"/>
              <w:jc w:val="center"/>
              <w:rPr>
                <w:rFonts w:ascii="宋体" w:hAnsi="宋体"/>
                <w:color w:val="auto"/>
                <w:sz w:val="24"/>
              </w:rPr>
            </w:pPr>
            <w:r>
              <w:rPr>
                <w:rFonts w:hint="eastAsia" w:ascii="宋体" w:hAnsi="宋体"/>
                <w:color w:val="auto"/>
                <w:sz w:val="24"/>
              </w:rPr>
              <w:t>41</w:t>
            </w:r>
            <w:r>
              <w:rPr>
                <w:rFonts w:ascii="宋体" w:hAnsi="宋体"/>
                <w:color w:val="auto"/>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42" w:type="dxa"/>
            <w:vMerge w:val="continue"/>
          </w:tcPr>
          <w:p>
            <w:pPr>
              <w:spacing w:line="440" w:lineRule="exact"/>
              <w:jc w:val="center"/>
              <w:rPr>
                <w:rFonts w:ascii="宋体" w:hAnsi="宋体"/>
                <w:sz w:val="24"/>
              </w:rPr>
            </w:pPr>
          </w:p>
        </w:tc>
        <w:tc>
          <w:tcPr>
            <w:tcW w:w="4511" w:type="dxa"/>
          </w:tcPr>
          <w:p>
            <w:pPr>
              <w:spacing w:line="440" w:lineRule="exact"/>
              <w:rPr>
                <w:rFonts w:ascii="宋体" w:hAnsi="宋体"/>
                <w:sz w:val="24"/>
              </w:rPr>
            </w:pPr>
            <w:r>
              <w:rPr>
                <w:rFonts w:hint="eastAsia" w:ascii="宋体" w:hAnsi="宋体"/>
                <w:szCs w:val="21"/>
              </w:rPr>
              <w:t>★</w:t>
            </w:r>
            <w:r>
              <w:rPr>
                <w:rFonts w:hint="eastAsia" w:ascii="宋体" w:hAnsi="宋体"/>
                <w:sz w:val="24"/>
              </w:rPr>
              <w:t>托臂最大有效长度 （</w:t>
            </w:r>
            <w:r>
              <w:rPr>
                <w:rFonts w:ascii="宋体" w:hAnsi="宋体"/>
                <w:sz w:val="24"/>
              </w:rPr>
              <w:t>mm</w:t>
            </w:r>
            <w:r>
              <w:rPr>
                <w:rFonts w:hint="eastAsia" w:ascii="宋体" w:hAnsi="宋体"/>
                <w:sz w:val="24"/>
              </w:rPr>
              <w:t>）</w:t>
            </w:r>
          </w:p>
        </w:tc>
        <w:tc>
          <w:tcPr>
            <w:tcW w:w="3785" w:type="dxa"/>
          </w:tcPr>
          <w:p>
            <w:pPr>
              <w:spacing w:line="440" w:lineRule="exact"/>
              <w:jc w:val="center"/>
              <w:rPr>
                <w:rFonts w:ascii="宋体" w:hAnsi="宋体"/>
                <w:color w:val="auto"/>
                <w:sz w:val="24"/>
              </w:rPr>
            </w:pPr>
            <w:r>
              <w:rPr>
                <w:rFonts w:ascii="宋体" w:hAnsi="宋体"/>
                <w:color w:val="auto"/>
                <w:sz w:val="24"/>
              </w:rPr>
              <w:fldChar w:fldCharType="begin"/>
            </w:r>
            <w:r>
              <w:rPr>
                <w:rFonts w:hint="eastAsia" w:ascii="宋体" w:hAnsi="宋体"/>
                <w:color w:val="auto"/>
                <w:sz w:val="24"/>
              </w:rPr>
              <w:instrText xml:space="preserve">MERGEFIELD 托臂有效长度（mm）</w:instrText>
            </w:r>
            <w:r>
              <w:rPr>
                <w:rFonts w:ascii="宋体" w:hAnsi="宋体"/>
                <w:color w:val="auto"/>
                <w:sz w:val="24"/>
              </w:rPr>
              <w:fldChar w:fldCharType="separate"/>
            </w:r>
            <w:r>
              <w:rPr>
                <w:rFonts w:hint="eastAsia" w:ascii="宋体" w:hAnsi="宋体"/>
                <w:color w:val="auto"/>
                <w:sz w:val="24"/>
              </w:rPr>
              <w:t>1800</w:t>
            </w:r>
            <w:r>
              <w:rPr>
                <w:rFonts w:ascii="宋体" w:hAnsi="宋体"/>
                <w:color w:val="auto"/>
                <w:sz w:val="24"/>
              </w:rPr>
              <w:fldChar w:fldCharType="end"/>
            </w:r>
            <w:r>
              <w:rPr>
                <w:rFonts w:hint="eastAsia" w:ascii="宋体" w:hAnsi="宋体"/>
                <w:color w:val="auto"/>
                <w:sz w:val="24"/>
              </w:rPr>
              <w:t>(尾板放平)，2800（尾板竖立）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42" w:type="dxa"/>
            <w:vMerge w:val="continue"/>
          </w:tcPr>
          <w:p>
            <w:pPr>
              <w:spacing w:line="440" w:lineRule="exact"/>
              <w:jc w:val="center"/>
              <w:rPr>
                <w:rFonts w:ascii="宋体" w:hAnsi="宋体"/>
                <w:sz w:val="24"/>
              </w:rPr>
            </w:pPr>
          </w:p>
        </w:tc>
        <w:tc>
          <w:tcPr>
            <w:tcW w:w="4511" w:type="dxa"/>
          </w:tcPr>
          <w:p>
            <w:pPr>
              <w:spacing w:line="440" w:lineRule="exact"/>
              <w:rPr>
                <w:rFonts w:ascii="宋体" w:hAnsi="宋体"/>
                <w:sz w:val="24"/>
              </w:rPr>
            </w:pPr>
            <w:r>
              <w:rPr>
                <w:rFonts w:hint="eastAsia" w:ascii="宋体" w:hAnsi="宋体"/>
                <w:sz w:val="24"/>
              </w:rPr>
              <w:t>托臂伸缩行程（</w:t>
            </w:r>
            <w:r>
              <w:rPr>
                <w:rFonts w:ascii="宋体" w:hAnsi="宋体"/>
                <w:sz w:val="24"/>
              </w:rPr>
              <w:t>mm</w:t>
            </w:r>
            <w:r>
              <w:rPr>
                <w:rFonts w:hint="eastAsia" w:ascii="宋体" w:hAnsi="宋体"/>
                <w:sz w:val="24"/>
              </w:rPr>
              <w:t>）</w:t>
            </w:r>
            <w:r>
              <w:rPr>
                <w:rFonts w:hint="eastAsia" w:cs="宋体" w:asciiTheme="majorEastAsia" w:hAnsiTheme="majorEastAsia" w:eastAsiaTheme="majorEastAsia"/>
                <w:sz w:val="18"/>
                <w:szCs w:val="18"/>
              </w:rPr>
              <w:t>≥</w:t>
            </w:r>
          </w:p>
        </w:tc>
        <w:tc>
          <w:tcPr>
            <w:tcW w:w="3785" w:type="dxa"/>
          </w:tcPr>
          <w:p>
            <w:pPr>
              <w:spacing w:line="440" w:lineRule="exact"/>
              <w:jc w:val="center"/>
              <w:rPr>
                <w:rFonts w:ascii="宋体" w:hAnsi="宋体"/>
                <w:color w:val="auto"/>
                <w:sz w:val="24"/>
              </w:rPr>
            </w:pPr>
            <w:r>
              <w:rPr>
                <w:rFonts w:ascii="宋体" w:hAnsi="宋体"/>
                <w:color w:val="auto"/>
                <w:sz w:val="24"/>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42" w:type="dxa"/>
            <w:vMerge w:val="continue"/>
          </w:tcPr>
          <w:p>
            <w:pPr>
              <w:spacing w:line="440" w:lineRule="exact"/>
              <w:jc w:val="center"/>
              <w:rPr>
                <w:rFonts w:ascii="宋体" w:hAnsi="宋体"/>
                <w:sz w:val="24"/>
              </w:rPr>
            </w:pPr>
          </w:p>
        </w:tc>
        <w:tc>
          <w:tcPr>
            <w:tcW w:w="4511" w:type="dxa"/>
          </w:tcPr>
          <w:p>
            <w:pPr>
              <w:spacing w:line="440" w:lineRule="exact"/>
              <w:rPr>
                <w:rFonts w:ascii="宋体" w:hAnsi="宋体"/>
                <w:sz w:val="24"/>
              </w:rPr>
            </w:pPr>
            <w:r>
              <w:rPr>
                <w:rFonts w:hint="eastAsia" w:ascii="宋体" w:hAnsi="宋体"/>
                <w:sz w:val="24"/>
              </w:rPr>
              <w:t>折叠角度（</w:t>
            </w:r>
            <w:r>
              <w:rPr>
                <w:rFonts w:hint="eastAsia" w:ascii="宋体" w:hAnsi="宋体"/>
                <w:sz w:val="24"/>
                <w:vertAlign w:val="superscript"/>
              </w:rPr>
              <w:t>0</w:t>
            </w:r>
            <w:r>
              <w:rPr>
                <w:rFonts w:hint="eastAsia" w:ascii="宋体" w:hAnsi="宋体"/>
                <w:sz w:val="24"/>
              </w:rPr>
              <w:t>）</w:t>
            </w:r>
            <w:r>
              <w:rPr>
                <w:rFonts w:hint="eastAsia" w:cs="宋体" w:asciiTheme="majorEastAsia" w:hAnsiTheme="majorEastAsia" w:eastAsiaTheme="majorEastAsia"/>
                <w:sz w:val="18"/>
                <w:szCs w:val="18"/>
              </w:rPr>
              <w:t>≥</w:t>
            </w:r>
          </w:p>
        </w:tc>
        <w:tc>
          <w:tcPr>
            <w:tcW w:w="3785" w:type="dxa"/>
          </w:tcPr>
          <w:p>
            <w:pPr>
              <w:spacing w:line="440" w:lineRule="exact"/>
              <w:jc w:val="center"/>
              <w:rPr>
                <w:rFonts w:ascii="宋体" w:hAnsi="宋体"/>
                <w:color w:val="auto"/>
                <w:sz w:val="24"/>
              </w:rPr>
            </w:pPr>
            <w:r>
              <w:rPr>
                <w:rFonts w:ascii="宋体" w:hAnsi="宋体"/>
                <w:color w:val="auto"/>
                <w:sz w:val="24"/>
              </w:rPr>
              <w:fldChar w:fldCharType="begin"/>
            </w:r>
            <w:r>
              <w:rPr>
                <w:rFonts w:ascii="宋体" w:hAnsi="宋体"/>
                <w:color w:val="auto"/>
                <w:sz w:val="24"/>
              </w:rPr>
              <w:instrText xml:space="preserve"> MERGEFIELD "托臂折叠角度 （°）" </w:instrText>
            </w:r>
            <w:r>
              <w:rPr>
                <w:rFonts w:ascii="宋体" w:hAnsi="宋体"/>
                <w:color w:val="auto"/>
                <w:sz w:val="24"/>
              </w:rPr>
              <w:fldChar w:fldCharType="separate"/>
            </w:r>
            <w:r>
              <w:rPr>
                <w:rFonts w:ascii="宋体" w:hAnsi="宋体"/>
                <w:color w:val="auto"/>
                <w:sz w:val="24"/>
              </w:rPr>
              <w:t xml:space="preserve"> -8～12</w:t>
            </w:r>
            <w:r>
              <w:rPr>
                <w:rFonts w:ascii="宋体" w:hAnsi="宋体"/>
                <w:color w:val="auto"/>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42" w:type="dxa"/>
            <w:vMerge w:val="continue"/>
          </w:tcPr>
          <w:p>
            <w:pPr>
              <w:spacing w:line="440" w:lineRule="exact"/>
              <w:jc w:val="center"/>
              <w:rPr>
                <w:rFonts w:ascii="宋体" w:hAnsi="宋体"/>
                <w:sz w:val="24"/>
              </w:rPr>
            </w:pPr>
          </w:p>
        </w:tc>
        <w:tc>
          <w:tcPr>
            <w:tcW w:w="4511" w:type="dxa"/>
          </w:tcPr>
          <w:p>
            <w:pPr>
              <w:spacing w:line="440" w:lineRule="exact"/>
              <w:rPr>
                <w:rFonts w:ascii="宋体" w:hAnsi="宋体"/>
                <w:sz w:val="24"/>
              </w:rPr>
            </w:pPr>
            <w:r>
              <w:rPr>
                <w:rFonts w:hint="eastAsia" w:ascii="宋体" w:hAnsi="宋体"/>
                <w:sz w:val="24"/>
              </w:rPr>
              <w:t>全伸出托叉口离地最大距离（</w:t>
            </w:r>
            <w:r>
              <w:rPr>
                <w:rFonts w:ascii="宋体" w:hAnsi="宋体"/>
                <w:sz w:val="24"/>
              </w:rPr>
              <w:t>mm</w:t>
            </w:r>
            <w:r>
              <w:rPr>
                <w:rFonts w:hint="eastAsia" w:ascii="宋体" w:hAnsi="宋体"/>
                <w:sz w:val="24"/>
              </w:rPr>
              <w:t>）</w:t>
            </w:r>
            <w:r>
              <w:rPr>
                <w:rFonts w:hint="eastAsia" w:cs="宋体" w:asciiTheme="majorEastAsia" w:hAnsiTheme="majorEastAsia" w:eastAsiaTheme="majorEastAsia"/>
                <w:sz w:val="18"/>
                <w:szCs w:val="18"/>
              </w:rPr>
              <w:t>≥</w:t>
            </w:r>
          </w:p>
        </w:tc>
        <w:tc>
          <w:tcPr>
            <w:tcW w:w="3785" w:type="dxa"/>
          </w:tcPr>
          <w:p>
            <w:pPr>
              <w:spacing w:line="440" w:lineRule="exact"/>
              <w:jc w:val="center"/>
              <w:rPr>
                <w:rFonts w:ascii="宋体" w:hAnsi="宋体"/>
                <w:color w:val="auto"/>
                <w:sz w:val="24"/>
              </w:rPr>
            </w:pPr>
            <w:r>
              <w:rPr>
                <w:rFonts w:hint="eastAsia" w:ascii="宋体" w:hAnsi="宋体"/>
                <w:color w:val="auto"/>
                <w:sz w:val="24"/>
              </w:rPr>
              <w:t>11</w:t>
            </w:r>
            <w:r>
              <w:rPr>
                <w:rFonts w:ascii="宋体" w:hAnsi="宋体"/>
                <w:color w:val="auto"/>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42" w:type="dxa"/>
            <w:vMerge w:val="restart"/>
            <w:vAlign w:val="center"/>
          </w:tcPr>
          <w:p>
            <w:pPr>
              <w:spacing w:line="440" w:lineRule="exact"/>
              <w:jc w:val="center"/>
              <w:rPr>
                <w:rFonts w:ascii="宋体" w:hAnsi="宋体"/>
                <w:sz w:val="24"/>
              </w:rPr>
            </w:pPr>
            <w:r>
              <w:rPr>
                <w:rFonts w:hint="eastAsia" w:ascii="宋体" w:hAnsi="宋体"/>
                <w:sz w:val="24"/>
              </w:rPr>
              <w:t>平</w:t>
            </w:r>
          </w:p>
          <w:p>
            <w:pPr>
              <w:spacing w:line="440" w:lineRule="exact"/>
              <w:jc w:val="center"/>
              <w:rPr>
                <w:rFonts w:ascii="宋体" w:hAnsi="宋体"/>
                <w:sz w:val="24"/>
              </w:rPr>
            </w:pPr>
            <w:r>
              <w:rPr>
                <w:rFonts w:hint="eastAsia" w:ascii="宋体" w:hAnsi="宋体"/>
                <w:sz w:val="24"/>
              </w:rPr>
              <w:t>板</w:t>
            </w:r>
          </w:p>
          <w:p>
            <w:pPr>
              <w:spacing w:line="440" w:lineRule="exact"/>
              <w:jc w:val="center"/>
              <w:rPr>
                <w:rFonts w:ascii="宋体" w:hAnsi="宋体"/>
                <w:sz w:val="24"/>
              </w:rPr>
            </w:pPr>
            <w:r>
              <w:rPr>
                <w:rFonts w:hint="eastAsia" w:ascii="宋体" w:hAnsi="宋体"/>
                <w:sz w:val="24"/>
              </w:rPr>
              <w:t>装</w:t>
            </w:r>
          </w:p>
          <w:p>
            <w:pPr>
              <w:spacing w:line="440" w:lineRule="exact"/>
              <w:jc w:val="center"/>
              <w:rPr>
                <w:rFonts w:ascii="宋体" w:hAnsi="宋体"/>
                <w:sz w:val="24"/>
              </w:rPr>
            </w:pPr>
            <w:r>
              <w:rPr>
                <w:rFonts w:hint="eastAsia" w:ascii="宋体" w:hAnsi="宋体"/>
                <w:sz w:val="24"/>
              </w:rPr>
              <w:t>置</w:t>
            </w:r>
          </w:p>
        </w:tc>
        <w:tc>
          <w:tcPr>
            <w:tcW w:w="4511" w:type="dxa"/>
          </w:tcPr>
          <w:p>
            <w:pPr>
              <w:spacing w:line="440" w:lineRule="exact"/>
              <w:rPr>
                <w:rFonts w:ascii="宋体" w:hAnsi="宋体"/>
                <w:sz w:val="24"/>
              </w:rPr>
            </w:pPr>
            <w:r>
              <w:rPr>
                <w:rFonts w:hint="eastAsia" w:ascii="宋体" w:hAnsi="宋体"/>
                <w:szCs w:val="21"/>
              </w:rPr>
              <w:t>★</w:t>
            </w:r>
            <w:r>
              <w:rPr>
                <w:rFonts w:ascii="宋体" w:hAnsi="宋体"/>
                <w:sz w:val="24"/>
              </w:rPr>
              <w:t>平板承载质量</w:t>
            </w:r>
            <w:r>
              <w:rPr>
                <w:rFonts w:hint="eastAsia" w:ascii="宋体" w:hAnsi="宋体"/>
                <w:sz w:val="24"/>
              </w:rPr>
              <w:t>（</w:t>
            </w:r>
            <w:r>
              <w:rPr>
                <w:rFonts w:ascii="宋体" w:hAnsi="宋体"/>
                <w:sz w:val="24"/>
              </w:rPr>
              <w:t>kg</w:t>
            </w:r>
            <w:r>
              <w:rPr>
                <w:rFonts w:hint="eastAsia" w:ascii="宋体" w:hAnsi="宋体"/>
                <w:sz w:val="24"/>
              </w:rPr>
              <w:t>）</w:t>
            </w:r>
          </w:p>
        </w:tc>
        <w:tc>
          <w:tcPr>
            <w:tcW w:w="3785" w:type="dxa"/>
          </w:tcPr>
          <w:p>
            <w:pPr>
              <w:spacing w:line="440" w:lineRule="exact"/>
              <w:jc w:val="center"/>
              <w:rPr>
                <w:rFonts w:ascii="宋体" w:hAnsi="宋体"/>
                <w:color w:val="auto"/>
                <w:sz w:val="24"/>
              </w:rPr>
            </w:pPr>
            <w:r>
              <w:rPr>
                <w:rFonts w:ascii="宋体" w:hAnsi="宋体"/>
                <w:color w:val="auto"/>
                <w:sz w:val="24"/>
              </w:rPr>
              <w:fldChar w:fldCharType="begin"/>
            </w:r>
            <w:r>
              <w:rPr>
                <w:rFonts w:hint="eastAsia" w:ascii="宋体" w:hAnsi="宋体"/>
                <w:color w:val="auto"/>
                <w:sz w:val="24"/>
              </w:rPr>
              <w:instrText xml:space="preserve">MERGEFIELD 平板承载质量kg</w:instrText>
            </w:r>
            <w:r>
              <w:rPr>
                <w:rFonts w:ascii="宋体" w:hAnsi="宋体"/>
                <w:color w:val="auto"/>
                <w:sz w:val="24"/>
              </w:rPr>
              <w:fldChar w:fldCharType="separate"/>
            </w:r>
            <w:r>
              <w:rPr>
                <w:rFonts w:hint="eastAsia" w:ascii="宋体" w:hAnsi="宋体"/>
                <w:color w:val="auto"/>
                <w:sz w:val="24"/>
              </w:rPr>
              <w:t>8000</w:t>
            </w:r>
            <w:r>
              <w:rPr>
                <w:rFonts w:ascii="宋体" w:hAnsi="宋体"/>
                <w:color w:val="auto"/>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42" w:type="dxa"/>
            <w:vMerge w:val="continue"/>
            <w:vAlign w:val="center"/>
          </w:tcPr>
          <w:p>
            <w:pPr>
              <w:spacing w:line="440" w:lineRule="exact"/>
              <w:jc w:val="center"/>
              <w:rPr>
                <w:rFonts w:ascii="宋体" w:hAnsi="宋体"/>
                <w:sz w:val="24"/>
              </w:rPr>
            </w:pPr>
          </w:p>
        </w:tc>
        <w:tc>
          <w:tcPr>
            <w:tcW w:w="4511" w:type="dxa"/>
          </w:tcPr>
          <w:p>
            <w:pPr>
              <w:spacing w:line="440" w:lineRule="exact"/>
              <w:rPr>
                <w:rFonts w:ascii="宋体" w:hAnsi="宋体"/>
                <w:sz w:val="24"/>
              </w:rPr>
            </w:pPr>
            <w:r>
              <w:rPr>
                <w:rFonts w:hint="eastAsia" w:ascii="宋体" w:hAnsi="宋体"/>
                <w:szCs w:val="21"/>
              </w:rPr>
              <w:t>★</w:t>
            </w:r>
            <w:r>
              <w:rPr>
                <w:rFonts w:ascii="宋体" w:hAnsi="宋体"/>
                <w:sz w:val="24"/>
              </w:rPr>
              <w:t>平板外框规格长</w:t>
            </w:r>
            <w:r>
              <w:rPr>
                <w:rFonts w:hint="eastAsia" w:ascii="宋体" w:hAnsi="宋体"/>
                <w:sz w:val="24"/>
              </w:rPr>
              <w:t>×</w:t>
            </w:r>
            <w:r>
              <w:rPr>
                <w:rFonts w:ascii="宋体" w:hAnsi="宋体"/>
                <w:sz w:val="24"/>
              </w:rPr>
              <w:t>宽</w:t>
            </w:r>
            <w:r>
              <w:rPr>
                <w:rFonts w:hint="eastAsia" w:ascii="宋体" w:hAnsi="宋体"/>
                <w:sz w:val="24"/>
              </w:rPr>
              <w:t>（mm）</w:t>
            </w:r>
            <w:r>
              <w:rPr>
                <w:rFonts w:hint="eastAsia" w:cs="宋体" w:asciiTheme="majorEastAsia" w:hAnsiTheme="majorEastAsia" w:eastAsiaTheme="majorEastAsia"/>
                <w:sz w:val="18"/>
                <w:szCs w:val="18"/>
              </w:rPr>
              <w:t>≥</w:t>
            </w:r>
          </w:p>
        </w:tc>
        <w:tc>
          <w:tcPr>
            <w:tcW w:w="3785" w:type="dxa"/>
          </w:tcPr>
          <w:p>
            <w:pPr>
              <w:spacing w:line="440" w:lineRule="exact"/>
              <w:jc w:val="center"/>
              <w:rPr>
                <w:rFonts w:ascii="宋体" w:hAnsi="宋体"/>
                <w:color w:val="auto"/>
                <w:sz w:val="24"/>
              </w:rPr>
            </w:pPr>
            <w:r>
              <w:rPr>
                <w:rFonts w:ascii="宋体" w:hAnsi="宋体"/>
                <w:color w:val="auto"/>
                <w:sz w:val="24"/>
              </w:rPr>
              <w:fldChar w:fldCharType="begin"/>
            </w:r>
            <w:r>
              <w:rPr>
                <w:rFonts w:ascii="宋体" w:hAnsi="宋体"/>
                <w:color w:val="auto"/>
                <w:sz w:val="24"/>
              </w:rPr>
              <w:instrText xml:space="preserve"> MERGEFIELD "平板外框规格长x宽(mm)" </w:instrText>
            </w:r>
            <w:r>
              <w:rPr>
                <w:rFonts w:ascii="宋体" w:hAnsi="宋体"/>
                <w:color w:val="auto"/>
                <w:sz w:val="24"/>
              </w:rPr>
              <w:fldChar w:fldCharType="separate"/>
            </w:r>
            <w:r>
              <w:rPr>
                <w:rFonts w:ascii="宋体" w:hAnsi="宋体"/>
                <w:color w:val="auto"/>
                <w:sz w:val="24"/>
              </w:rPr>
              <w:t>7</w:t>
            </w:r>
            <w:r>
              <w:rPr>
                <w:rFonts w:hint="eastAsia" w:ascii="宋体" w:hAnsi="宋体"/>
                <w:color w:val="auto"/>
                <w:sz w:val="24"/>
              </w:rPr>
              <w:t>56</w:t>
            </w:r>
            <w:r>
              <w:rPr>
                <w:rFonts w:ascii="宋体" w:hAnsi="宋体"/>
                <w:color w:val="auto"/>
                <w:sz w:val="24"/>
              </w:rPr>
              <w:t>0×2</w:t>
            </w:r>
            <w:r>
              <w:rPr>
                <w:rFonts w:hint="eastAsia" w:ascii="宋体" w:hAnsi="宋体"/>
                <w:color w:val="auto"/>
                <w:sz w:val="24"/>
              </w:rPr>
              <w:t>55</w:t>
            </w:r>
            <w:r>
              <w:rPr>
                <w:rFonts w:ascii="宋体" w:hAnsi="宋体"/>
                <w:color w:val="auto"/>
                <w:sz w:val="24"/>
              </w:rPr>
              <w:t>0</w:t>
            </w:r>
            <w:r>
              <w:rPr>
                <w:rFonts w:ascii="宋体" w:hAnsi="宋体"/>
                <w:color w:val="auto"/>
                <w:sz w:val="24"/>
              </w:rPr>
              <w:fldChar w:fldCharType="end"/>
            </w:r>
            <w:r>
              <w:rPr>
                <w:rFonts w:hint="eastAsia" w:ascii="宋体" w:hAnsi="宋体"/>
                <w:color w:val="auto"/>
                <w:sz w:val="24"/>
              </w:rPr>
              <w:t>(尾板放平)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42" w:type="dxa"/>
            <w:vMerge w:val="continue"/>
            <w:vAlign w:val="center"/>
          </w:tcPr>
          <w:p>
            <w:pPr>
              <w:spacing w:line="440" w:lineRule="exact"/>
              <w:jc w:val="center"/>
              <w:rPr>
                <w:rFonts w:ascii="宋体" w:hAnsi="宋体"/>
                <w:sz w:val="24"/>
              </w:rPr>
            </w:pPr>
          </w:p>
        </w:tc>
        <w:tc>
          <w:tcPr>
            <w:tcW w:w="4511" w:type="dxa"/>
          </w:tcPr>
          <w:p>
            <w:pPr>
              <w:spacing w:line="440" w:lineRule="exact"/>
              <w:rPr>
                <w:rFonts w:ascii="宋体" w:hAnsi="宋体"/>
                <w:sz w:val="24"/>
              </w:rPr>
            </w:pPr>
            <w:r>
              <w:rPr>
                <w:rFonts w:hint="eastAsia" w:ascii="宋体" w:hAnsi="宋体"/>
                <w:szCs w:val="21"/>
              </w:rPr>
              <w:t>★</w:t>
            </w:r>
            <w:r>
              <w:rPr>
                <w:rFonts w:ascii="宋体" w:hAnsi="宋体"/>
                <w:sz w:val="24"/>
              </w:rPr>
              <w:t>平板内框规格长</w:t>
            </w:r>
            <w:r>
              <w:rPr>
                <w:rFonts w:hint="eastAsia" w:ascii="宋体" w:hAnsi="宋体"/>
                <w:sz w:val="24"/>
              </w:rPr>
              <w:t>×</w:t>
            </w:r>
            <w:r>
              <w:rPr>
                <w:rFonts w:ascii="宋体" w:hAnsi="宋体"/>
                <w:sz w:val="24"/>
              </w:rPr>
              <w:t>宽</w:t>
            </w:r>
            <w:r>
              <w:rPr>
                <w:rFonts w:hint="eastAsia" w:ascii="宋体" w:hAnsi="宋体"/>
                <w:sz w:val="24"/>
              </w:rPr>
              <w:t>（mm）</w:t>
            </w:r>
          </w:p>
        </w:tc>
        <w:tc>
          <w:tcPr>
            <w:tcW w:w="3785" w:type="dxa"/>
          </w:tcPr>
          <w:p>
            <w:pPr>
              <w:spacing w:line="440" w:lineRule="exact"/>
              <w:jc w:val="center"/>
              <w:rPr>
                <w:rFonts w:ascii="宋体" w:hAnsi="宋体"/>
                <w:color w:val="auto"/>
                <w:sz w:val="24"/>
              </w:rPr>
            </w:pPr>
            <w:r>
              <w:rPr>
                <w:rFonts w:ascii="宋体" w:hAnsi="宋体"/>
                <w:color w:val="auto"/>
                <w:sz w:val="24"/>
              </w:rPr>
              <w:fldChar w:fldCharType="begin"/>
            </w:r>
            <w:r>
              <w:rPr>
                <w:rFonts w:ascii="宋体" w:hAnsi="宋体"/>
                <w:color w:val="auto"/>
                <w:sz w:val="24"/>
              </w:rPr>
              <w:instrText xml:space="preserve"> MERGEFIELD "平板内框规格长x宽(mm)" </w:instrText>
            </w:r>
            <w:r>
              <w:rPr>
                <w:rFonts w:ascii="宋体" w:hAnsi="宋体"/>
                <w:color w:val="auto"/>
                <w:sz w:val="24"/>
              </w:rPr>
              <w:fldChar w:fldCharType="separate"/>
            </w:r>
            <w:r>
              <w:rPr>
                <w:rFonts w:ascii="宋体" w:hAnsi="宋体"/>
                <w:color w:val="auto"/>
                <w:sz w:val="24"/>
              </w:rPr>
              <w:t>7</w:t>
            </w:r>
            <w:r>
              <w:rPr>
                <w:rFonts w:hint="eastAsia" w:ascii="宋体" w:hAnsi="宋体"/>
                <w:color w:val="auto"/>
                <w:sz w:val="24"/>
              </w:rPr>
              <w:t>5</w:t>
            </w:r>
            <w:r>
              <w:rPr>
                <w:rFonts w:ascii="宋体" w:hAnsi="宋体"/>
                <w:color w:val="auto"/>
                <w:sz w:val="24"/>
              </w:rPr>
              <w:t>10×2</w:t>
            </w:r>
            <w:r>
              <w:rPr>
                <w:rFonts w:hint="eastAsia" w:ascii="宋体" w:hAnsi="宋体"/>
                <w:color w:val="auto"/>
                <w:sz w:val="24"/>
              </w:rPr>
              <w:t>47</w:t>
            </w:r>
            <w:r>
              <w:rPr>
                <w:rFonts w:ascii="宋体" w:hAnsi="宋体"/>
                <w:color w:val="auto"/>
                <w:sz w:val="24"/>
              </w:rPr>
              <w:t>0</w:t>
            </w:r>
            <w:r>
              <w:rPr>
                <w:rFonts w:ascii="宋体" w:hAnsi="宋体"/>
                <w:color w:val="auto"/>
                <w:sz w:val="24"/>
              </w:rPr>
              <w:fldChar w:fldCharType="end"/>
            </w:r>
            <w:r>
              <w:rPr>
                <w:rFonts w:hint="eastAsia" w:ascii="宋体" w:hAnsi="宋体"/>
                <w:color w:val="auto"/>
                <w:sz w:val="24"/>
              </w:rPr>
              <w:t>（尾板放平）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42" w:type="dxa"/>
            <w:vMerge w:val="continue"/>
            <w:vAlign w:val="center"/>
          </w:tcPr>
          <w:p>
            <w:pPr>
              <w:spacing w:line="440" w:lineRule="exact"/>
              <w:jc w:val="center"/>
              <w:rPr>
                <w:rFonts w:ascii="宋体" w:hAnsi="宋体"/>
                <w:sz w:val="24"/>
              </w:rPr>
            </w:pPr>
          </w:p>
        </w:tc>
        <w:tc>
          <w:tcPr>
            <w:tcW w:w="4511" w:type="dxa"/>
          </w:tcPr>
          <w:p>
            <w:pPr>
              <w:spacing w:line="440" w:lineRule="exact"/>
              <w:rPr>
                <w:rFonts w:ascii="宋体" w:hAnsi="宋体"/>
                <w:sz w:val="24"/>
              </w:rPr>
            </w:pPr>
            <w:r>
              <w:rPr>
                <w:rFonts w:ascii="宋体" w:hAnsi="宋体"/>
                <w:sz w:val="24"/>
              </w:rPr>
              <w:t>板面离地高度</w:t>
            </w:r>
            <w:r>
              <w:rPr>
                <w:rFonts w:hint="eastAsia" w:ascii="宋体" w:hAnsi="宋体"/>
                <w:sz w:val="24"/>
              </w:rPr>
              <w:t>（</w:t>
            </w:r>
            <w:r>
              <w:rPr>
                <w:rFonts w:ascii="宋体" w:hAnsi="宋体"/>
                <w:sz w:val="24"/>
              </w:rPr>
              <w:t>mm</w:t>
            </w:r>
            <w:r>
              <w:rPr>
                <w:rFonts w:hint="eastAsia" w:ascii="宋体" w:hAnsi="宋体"/>
                <w:sz w:val="24"/>
              </w:rPr>
              <w:t>）</w:t>
            </w:r>
            <w:r>
              <w:rPr>
                <w:rFonts w:hint="eastAsia" w:cs="宋体" w:asciiTheme="majorEastAsia" w:hAnsiTheme="majorEastAsia" w:eastAsiaTheme="majorEastAsia"/>
                <w:sz w:val="18"/>
                <w:szCs w:val="18"/>
              </w:rPr>
              <w:t>≥</w:t>
            </w:r>
          </w:p>
        </w:tc>
        <w:tc>
          <w:tcPr>
            <w:tcW w:w="3785" w:type="dxa"/>
          </w:tcPr>
          <w:p>
            <w:pPr>
              <w:spacing w:line="440" w:lineRule="exact"/>
              <w:jc w:val="center"/>
              <w:rPr>
                <w:rFonts w:ascii="宋体" w:hAnsi="宋体"/>
                <w:color w:val="000000" w:themeColor="text1"/>
                <w:sz w:val="24"/>
              </w:rPr>
            </w:pPr>
            <w:r>
              <w:rPr>
                <w:rFonts w:ascii="宋体" w:hAnsi="宋体"/>
                <w:color w:val="000000" w:themeColor="text1"/>
                <w:sz w:val="24"/>
              </w:rPr>
              <w:fldChar w:fldCharType="begin"/>
            </w:r>
            <w:r>
              <w:rPr>
                <w:rFonts w:ascii="宋体" w:hAnsi="宋体"/>
                <w:color w:val="000000" w:themeColor="text1"/>
                <w:sz w:val="24"/>
              </w:rPr>
              <w:instrText xml:space="preserve"> MERGEFIELD "板面离地高度(mm)" </w:instrText>
            </w:r>
            <w:r>
              <w:rPr>
                <w:rFonts w:ascii="宋体" w:hAnsi="宋体"/>
                <w:color w:val="000000" w:themeColor="text1"/>
                <w:sz w:val="24"/>
              </w:rPr>
              <w:fldChar w:fldCharType="separate"/>
            </w:r>
            <w:r>
              <w:rPr>
                <w:rFonts w:ascii="宋体" w:hAnsi="宋体"/>
                <w:color w:val="000000" w:themeColor="text1"/>
                <w:sz w:val="24"/>
              </w:rPr>
              <w:t>1</w:t>
            </w:r>
            <w:r>
              <w:rPr>
                <w:rFonts w:hint="eastAsia" w:ascii="宋体" w:hAnsi="宋体"/>
                <w:color w:val="000000" w:themeColor="text1"/>
                <w:sz w:val="24"/>
              </w:rPr>
              <w:t>291</w:t>
            </w:r>
            <w:r>
              <w:rPr>
                <w:rFonts w:ascii="宋体" w:hAnsi="宋体"/>
                <w:color w:val="000000" w:themeColor="text1"/>
                <w:sz w:val="24"/>
              </w:rPr>
              <w:t>-1</w:t>
            </w:r>
            <w:r>
              <w:rPr>
                <w:rFonts w:ascii="宋体" w:hAnsi="宋体"/>
                <w:color w:val="000000" w:themeColor="text1"/>
                <w:sz w:val="24"/>
              </w:rPr>
              <w:fldChar w:fldCharType="end"/>
            </w:r>
            <w:r>
              <w:rPr>
                <w:rFonts w:hint="eastAsia" w:ascii="宋体" w:hAnsi="宋体"/>
                <w:color w:val="000000" w:themeColor="text1"/>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42" w:type="dxa"/>
            <w:vMerge w:val="continue"/>
            <w:vAlign w:val="center"/>
          </w:tcPr>
          <w:p>
            <w:pPr>
              <w:spacing w:line="440" w:lineRule="exact"/>
              <w:jc w:val="center"/>
              <w:rPr>
                <w:rFonts w:ascii="宋体" w:hAnsi="宋体"/>
                <w:sz w:val="24"/>
              </w:rPr>
            </w:pPr>
          </w:p>
        </w:tc>
        <w:tc>
          <w:tcPr>
            <w:tcW w:w="4511" w:type="dxa"/>
          </w:tcPr>
          <w:p>
            <w:pPr>
              <w:spacing w:line="440" w:lineRule="exact"/>
              <w:rPr>
                <w:rFonts w:ascii="宋体" w:hAnsi="宋体"/>
                <w:sz w:val="24"/>
              </w:rPr>
            </w:pPr>
            <w:r>
              <w:rPr>
                <w:rFonts w:ascii="宋体" w:hAnsi="宋体"/>
                <w:sz w:val="24"/>
              </w:rPr>
              <w:t>平板与地面的最小角度</w:t>
            </w:r>
            <w:r>
              <w:rPr>
                <w:rFonts w:hint="eastAsia" w:ascii="宋体" w:hAnsi="宋体"/>
                <w:sz w:val="24"/>
              </w:rPr>
              <w:t>（</w:t>
            </w:r>
            <w:r>
              <w:rPr>
                <w:rFonts w:ascii="宋体" w:hAnsi="宋体"/>
                <w:sz w:val="24"/>
              </w:rPr>
              <w:t>°</w:t>
            </w:r>
            <w:r>
              <w:rPr>
                <w:rFonts w:hint="eastAsia" w:ascii="宋体" w:hAnsi="宋体"/>
                <w:sz w:val="24"/>
              </w:rPr>
              <w:t>）</w:t>
            </w:r>
          </w:p>
        </w:tc>
        <w:tc>
          <w:tcPr>
            <w:tcW w:w="3785" w:type="dxa"/>
          </w:tcPr>
          <w:p>
            <w:pPr>
              <w:spacing w:line="440" w:lineRule="exact"/>
              <w:jc w:val="center"/>
              <w:rPr>
                <w:rFonts w:ascii="宋体" w:hAnsi="宋体"/>
                <w:color w:val="000000" w:themeColor="text1"/>
                <w:sz w:val="24"/>
              </w:rPr>
            </w:pPr>
            <w:r>
              <w:rPr>
                <w:rFonts w:hint="eastAsia" w:ascii="宋体" w:hAnsi="宋体"/>
                <w:color w:val="000000" w:themeColor="text1"/>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42" w:type="dxa"/>
            <w:vMerge w:val="continue"/>
            <w:vAlign w:val="center"/>
          </w:tcPr>
          <w:p>
            <w:pPr>
              <w:spacing w:line="440" w:lineRule="exact"/>
              <w:jc w:val="center"/>
              <w:rPr>
                <w:rFonts w:ascii="宋体" w:hAnsi="宋体"/>
                <w:sz w:val="24"/>
              </w:rPr>
            </w:pPr>
          </w:p>
        </w:tc>
        <w:tc>
          <w:tcPr>
            <w:tcW w:w="4511" w:type="dxa"/>
          </w:tcPr>
          <w:p>
            <w:pPr>
              <w:spacing w:line="440" w:lineRule="exact"/>
              <w:rPr>
                <w:rFonts w:ascii="宋体" w:hAnsi="宋体"/>
                <w:sz w:val="24"/>
              </w:rPr>
            </w:pPr>
            <w:r>
              <w:rPr>
                <w:rFonts w:hint="eastAsia" w:ascii="宋体" w:hAnsi="宋体"/>
                <w:szCs w:val="21"/>
              </w:rPr>
              <w:t>★</w:t>
            </w:r>
            <w:r>
              <w:rPr>
                <w:rFonts w:hint="eastAsia" w:ascii="宋体" w:hAnsi="宋体"/>
                <w:sz w:val="24"/>
              </w:rPr>
              <w:t>尾板型式</w:t>
            </w:r>
          </w:p>
        </w:tc>
        <w:tc>
          <w:tcPr>
            <w:tcW w:w="3785" w:type="dxa"/>
          </w:tcPr>
          <w:p>
            <w:pPr>
              <w:spacing w:line="440" w:lineRule="exact"/>
              <w:jc w:val="center"/>
              <w:rPr>
                <w:rFonts w:ascii="宋体" w:hAnsi="宋体"/>
                <w:color w:val="000000" w:themeColor="text1"/>
                <w:sz w:val="24"/>
              </w:rPr>
            </w:pPr>
            <w:r>
              <w:rPr>
                <w:rFonts w:hint="eastAsia" w:ascii="宋体" w:hAnsi="宋体"/>
                <w:color w:val="000000" w:themeColor="text1"/>
                <w:sz w:val="24"/>
              </w:rPr>
              <w:t>竖立折叠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42" w:type="dxa"/>
            <w:vMerge w:val="continue"/>
            <w:vAlign w:val="center"/>
          </w:tcPr>
          <w:p>
            <w:pPr>
              <w:spacing w:line="440" w:lineRule="exact"/>
              <w:jc w:val="center"/>
              <w:rPr>
                <w:rFonts w:ascii="宋体" w:hAnsi="宋体"/>
                <w:sz w:val="24"/>
              </w:rPr>
            </w:pPr>
          </w:p>
        </w:tc>
        <w:tc>
          <w:tcPr>
            <w:tcW w:w="4511" w:type="dxa"/>
          </w:tcPr>
          <w:p>
            <w:pPr>
              <w:spacing w:line="440" w:lineRule="exact"/>
              <w:rPr>
                <w:rFonts w:ascii="宋体" w:hAnsi="宋体"/>
                <w:sz w:val="24"/>
              </w:rPr>
            </w:pPr>
            <w:r>
              <w:rPr>
                <w:rFonts w:hint="eastAsia" w:ascii="宋体" w:hAnsi="宋体"/>
                <w:sz w:val="24"/>
              </w:rPr>
              <w:t>尾板长度（mm）</w:t>
            </w:r>
            <w:r>
              <w:rPr>
                <w:rFonts w:hint="eastAsia" w:cs="宋体" w:asciiTheme="majorEastAsia" w:hAnsiTheme="majorEastAsia" w:eastAsiaTheme="majorEastAsia"/>
                <w:sz w:val="18"/>
                <w:szCs w:val="18"/>
              </w:rPr>
              <w:t>≥</w:t>
            </w:r>
          </w:p>
        </w:tc>
        <w:tc>
          <w:tcPr>
            <w:tcW w:w="3785" w:type="dxa"/>
          </w:tcPr>
          <w:p>
            <w:pPr>
              <w:spacing w:line="440" w:lineRule="exact"/>
              <w:jc w:val="center"/>
              <w:rPr>
                <w:rFonts w:ascii="宋体" w:hAnsi="宋体"/>
                <w:color w:val="auto"/>
                <w:sz w:val="24"/>
              </w:rPr>
            </w:pPr>
            <w:r>
              <w:rPr>
                <w:rFonts w:ascii="宋体" w:hAnsi="宋体"/>
                <w:color w:val="auto"/>
                <w:sz w:val="24"/>
              </w:rPr>
              <w:t>175</w:t>
            </w:r>
            <w:r>
              <w:rPr>
                <w:rFonts w:hint="eastAsia" w:ascii="宋体" w:hAnsi="宋体"/>
                <w:color w:val="auto"/>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842" w:type="dxa"/>
            <w:vMerge w:val="restart"/>
            <w:vAlign w:val="center"/>
          </w:tcPr>
          <w:p>
            <w:pPr>
              <w:spacing w:line="440" w:lineRule="exact"/>
              <w:jc w:val="center"/>
              <w:rPr>
                <w:rFonts w:ascii="宋体" w:hAnsi="宋体"/>
                <w:sz w:val="24"/>
              </w:rPr>
            </w:pPr>
            <w:r>
              <w:rPr>
                <w:rFonts w:hint="eastAsia" w:ascii="宋体" w:hAnsi="宋体"/>
                <w:sz w:val="24"/>
              </w:rPr>
              <w:t>绞</w:t>
            </w:r>
          </w:p>
          <w:p>
            <w:pPr>
              <w:spacing w:line="440" w:lineRule="exact"/>
              <w:jc w:val="center"/>
              <w:rPr>
                <w:rFonts w:ascii="宋体" w:hAnsi="宋体"/>
                <w:sz w:val="24"/>
              </w:rPr>
            </w:pPr>
            <w:r>
              <w:rPr>
                <w:rFonts w:hint="eastAsia" w:ascii="宋体" w:hAnsi="宋体"/>
                <w:sz w:val="24"/>
              </w:rPr>
              <w:t>盘</w:t>
            </w:r>
          </w:p>
        </w:tc>
        <w:tc>
          <w:tcPr>
            <w:tcW w:w="4511" w:type="dxa"/>
          </w:tcPr>
          <w:p>
            <w:pPr>
              <w:spacing w:line="440" w:lineRule="exact"/>
              <w:rPr>
                <w:rFonts w:ascii="宋体" w:hAnsi="宋体"/>
                <w:sz w:val="24"/>
              </w:rPr>
            </w:pPr>
            <w:r>
              <w:rPr>
                <w:rFonts w:hint="eastAsia" w:ascii="宋体" w:hAnsi="宋体"/>
                <w:szCs w:val="21"/>
              </w:rPr>
              <w:t>★</w:t>
            </w:r>
            <w:r>
              <w:rPr>
                <w:rFonts w:hint="eastAsia" w:ascii="宋体" w:hAnsi="宋体"/>
                <w:sz w:val="24"/>
              </w:rPr>
              <w:t>数量（只）</w:t>
            </w:r>
          </w:p>
        </w:tc>
        <w:tc>
          <w:tcPr>
            <w:tcW w:w="3785" w:type="dxa"/>
          </w:tcPr>
          <w:p>
            <w:pPr>
              <w:spacing w:line="440" w:lineRule="exact"/>
              <w:jc w:val="center"/>
              <w:rPr>
                <w:rFonts w:ascii="宋体" w:hAnsi="宋体"/>
                <w:color w:val="auto"/>
                <w:sz w:val="24"/>
              </w:rPr>
            </w:pPr>
            <w:r>
              <w:rPr>
                <w:rFonts w:ascii="宋体" w:hAnsi="宋体"/>
                <w:color w:val="auto"/>
                <w:sz w:val="24"/>
              </w:rPr>
              <w:fldChar w:fldCharType="begin"/>
            </w:r>
            <w:r>
              <w:rPr>
                <w:rFonts w:hint="eastAsia" w:ascii="宋体" w:hAnsi="宋体"/>
                <w:color w:val="auto"/>
                <w:sz w:val="24"/>
              </w:rPr>
              <w:instrText xml:space="preserve">MERGEFIELD 绞盘数量（只）</w:instrText>
            </w:r>
            <w:r>
              <w:rPr>
                <w:rFonts w:ascii="宋体" w:hAnsi="宋体"/>
                <w:color w:val="auto"/>
                <w:sz w:val="24"/>
              </w:rPr>
              <w:fldChar w:fldCharType="separate"/>
            </w:r>
            <w:r>
              <w:rPr>
                <w:rFonts w:hint="eastAsia" w:ascii="宋体" w:hAnsi="宋体"/>
                <w:color w:val="auto"/>
                <w:sz w:val="24"/>
              </w:rPr>
              <w:t>1</w:t>
            </w:r>
            <w:r>
              <w:rPr>
                <w:rFonts w:ascii="宋体" w:hAnsi="宋体"/>
                <w:color w:val="auto"/>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42" w:type="dxa"/>
            <w:vMerge w:val="continue"/>
          </w:tcPr>
          <w:p>
            <w:pPr>
              <w:spacing w:line="440" w:lineRule="exact"/>
              <w:jc w:val="center"/>
              <w:rPr>
                <w:rFonts w:ascii="宋体" w:hAnsi="宋体"/>
                <w:sz w:val="24"/>
              </w:rPr>
            </w:pPr>
          </w:p>
        </w:tc>
        <w:tc>
          <w:tcPr>
            <w:tcW w:w="4511" w:type="dxa"/>
          </w:tcPr>
          <w:p>
            <w:pPr>
              <w:spacing w:line="440" w:lineRule="exact"/>
              <w:rPr>
                <w:rFonts w:ascii="宋体" w:hAnsi="宋体"/>
                <w:sz w:val="24"/>
              </w:rPr>
            </w:pPr>
            <w:r>
              <w:rPr>
                <w:rFonts w:hint="eastAsia" w:ascii="宋体" w:hAnsi="宋体"/>
                <w:szCs w:val="21"/>
              </w:rPr>
              <w:t>★</w:t>
            </w:r>
            <w:r>
              <w:rPr>
                <w:rFonts w:hint="eastAsia" w:ascii="宋体" w:hAnsi="宋体"/>
                <w:sz w:val="24"/>
              </w:rPr>
              <w:t>每只额定牵引力（</w:t>
            </w:r>
            <w:r>
              <w:rPr>
                <w:rFonts w:ascii="宋体" w:hAnsi="宋体"/>
                <w:sz w:val="24"/>
              </w:rPr>
              <w:t>k</w:t>
            </w:r>
            <w:r>
              <w:rPr>
                <w:rFonts w:hint="eastAsia" w:ascii="宋体" w:hAnsi="宋体"/>
                <w:sz w:val="24"/>
              </w:rPr>
              <w:t>N）</w:t>
            </w:r>
          </w:p>
        </w:tc>
        <w:tc>
          <w:tcPr>
            <w:tcW w:w="3785" w:type="dxa"/>
          </w:tcPr>
          <w:p>
            <w:pPr>
              <w:spacing w:line="440" w:lineRule="exact"/>
              <w:jc w:val="center"/>
              <w:rPr>
                <w:rFonts w:ascii="宋体" w:hAnsi="宋体"/>
                <w:color w:val="auto"/>
                <w:sz w:val="24"/>
              </w:rPr>
            </w:pPr>
            <w:r>
              <w:rPr>
                <w:rFonts w:hint="eastAsia" w:ascii="宋体" w:hAnsi="宋体"/>
                <w:color w:val="auto"/>
                <w:sz w:val="24"/>
              </w:rPr>
              <w:fldChar w:fldCharType="begin"/>
            </w:r>
            <w:r>
              <w:rPr>
                <w:rFonts w:hint="eastAsia" w:ascii="宋体" w:hAnsi="宋体"/>
                <w:color w:val="auto"/>
                <w:sz w:val="24"/>
              </w:rPr>
              <w:instrText xml:space="preserve"> MERGEFIELD "绞盘每只额定牵引力 （kN）" </w:instrText>
            </w:r>
            <w:r>
              <w:rPr>
                <w:rFonts w:hint="eastAsia" w:ascii="宋体" w:hAnsi="宋体"/>
                <w:color w:val="auto"/>
                <w:sz w:val="24"/>
              </w:rPr>
              <w:fldChar w:fldCharType="separate"/>
            </w:r>
            <w:r>
              <w:rPr>
                <w:rFonts w:hint="eastAsia" w:ascii="宋体" w:hAnsi="宋体"/>
                <w:color w:val="auto"/>
                <w:sz w:val="24"/>
              </w:rPr>
              <w:t>50</w:t>
            </w:r>
            <w:r>
              <w:rPr>
                <w:rFonts w:hint="eastAsia" w:ascii="宋体" w:hAnsi="宋体"/>
                <w:color w:val="auto"/>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42" w:type="dxa"/>
            <w:vMerge w:val="continue"/>
          </w:tcPr>
          <w:p>
            <w:pPr>
              <w:spacing w:line="440" w:lineRule="exact"/>
              <w:jc w:val="center"/>
              <w:rPr>
                <w:rFonts w:ascii="宋体" w:hAnsi="宋体"/>
                <w:sz w:val="24"/>
              </w:rPr>
            </w:pPr>
          </w:p>
        </w:tc>
        <w:tc>
          <w:tcPr>
            <w:tcW w:w="4511" w:type="dxa"/>
          </w:tcPr>
          <w:p>
            <w:pPr>
              <w:spacing w:line="440" w:lineRule="exact"/>
              <w:rPr>
                <w:rFonts w:ascii="宋体" w:hAnsi="宋体"/>
                <w:sz w:val="24"/>
              </w:rPr>
            </w:pPr>
            <w:r>
              <w:rPr>
                <w:rFonts w:hint="eastAsia" w:ascii="宋体" w:hAnsi="宋体"/>
                <w:sz w:val="24"/>
              </w:rPr>
              <w:t>钢丝绳规格</w:t>
            </w:r>
            <w:r>
              <w:rPr>
                <w:rFonts w:hint="eastAsia" w:cs="宋体" w:asciiTheme="majorEastAsia" w:hAnsiTheme="majorEastAsia" w:eastAsiaTheme="majorEastAsia"/>
                <w:sz w:val="18"/>
                <w:szCs w:val="18"/>
              </w:rPr>
              <w:t>≥</w:t>
            </w:r>
          </w:p>
        </w:tc>
        <w:tc>
          <w:tcPr>
            <w:tcW w:w="3785" w:type="dxa"/>
          </w:tcPr>
          <w:p>
            <w:pPr>
              <w:spacing w:line="440" w:lineRule="exact"/>
              <w:jc w:val="center"/>
              <w:rPr>
                <w:rFonts w:ascii="宋体" w:hAnsi="宋体"/>
                <w:color w:val="000000" w:themeColor="text1"/>
                <w:sz w:val="24"/>
              </w:rPr>
            </w:pPr>
            <w:r>
              <w:rPr>
                <w:rFonts w:ascii="宋体" w:hAnsi="宋体"/>
                <w:color w:val="000000" w:themeColor="text1"/>
                <w:sz w:val="24"/>
              </w:rPr>
              <w:fldChar w:fldCharType="begin"/>
            </w:r>
            <w:r>
              <w:rPr>
                <w:rFonts w:ascii="宋体" w:hAnsi="宋体"/>
                <w:color w:val="000000" w:themeColor="text1"/>
                <w:sz w:val="24"/>
              </w:rPr>
              <w:instrText xml:space="preserve"> MERGEFIELD 钢丝绳规格 </w:instrText>
            </w:r>
            <w:r>
              <w:rPr>
                <w:rFonts w:ascii="宋体" w:hAnsi="宋体"/>
                <w:color w:val="000000" w:themeColor="text1"/>
                <w:sz w:val="24"/>
              </w:rPr>
              <w:fldChar w:fldCharType="separate"/>
            </w:r>
            <w:r>
              <w:rPr>
                <w:rFonts w:ascii="宋体" w:hAnsi="宋体"/>
                <w:color w:val="000000" w:themeColor="text1"/>
                <w:sz w:val="24"/>
              </w:rPr>
              <w:t>12-35W×7-1770NZS</w:t>
            </w:r>
            <w:r>
              <w:rPr>
                <w:rFonts w:ascii="宋体" w:hAnsi="宋体"/>
                <w:color w:val="000000" w:themeColor="text1"/>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42" w:type="dxa"/>
            <w:vMerge w:val="continue"/>
          </w:tcPr>
          <w:p>
            <w:pPr>
              <w:spacing w:line="440" w:lineRule="exact"/>
              <w:jc w:val="center"/>
              <w:rPr>
                <w:rFonts w:ascii="宋体" w:hAnsi="宋体"/>
                <w:sz w:val="24"/>
              </w:rPr>
            </w:pPr>
          </w:p>
        </w:tc>
        <w:tc>
          <w:tcPr>
            <w:tcW w:w="4511" w:type="dxa"/>
          </w:tcPr>
          <w:p>
            <w:pPr>
              <w:spacing w:line="440" w:lineRule="exact"/>
              <w:rPr>
                <w:rFonts w:ascii="宋体" w:hAnsi="宋体"/>
                <w:sz w:val="24"/>
              </w:rPr>
            </w:pPr>
            <w:r>
              <w:rPr>
                <w:rFonts w:hint="eastAsia" w:ascii="宋体" w:hAnsi="宋体"/>
                <w:sz w:val="24"/>
              </w:rPr>
              <w:t>钢丝绳直径（</w:t>
            </w:r>
            <w:r>
              <w:rPr>
                <w:rFonts w:ascii="宋体" w:hAnsi="宋体"/>
                <w:sz w:val="24"/>
              </w:rPr>
              <w:t>mm</w:t>
            </w:r>
            <w:r>
              <w:rPr>
                <w:rFonts w:hint="eastAsia" w:ascii="宋体" w:hAnsi="宋体"/>
                <w:sz w:val="24"/>
              </w:rPr>
              <w:t>）</w:t>
            </w:r>
            <w:r>
              <w:rPr>
                <w:rFonts w:hint="eastAsia" w:cs="宋体" w:asciiTheme="majorEastAsia" w:hAnsiTheme="majorEastAsia" w:eastAsiaTheme="majorEastAsia"/>
                <w:sz w:val="18"/>
                <w:szCs w:val="18"/>
              </w:rPr>
              <w:t>≥</w:t>
            </w:r>
          </w:p>
        </w:tc>
        <w:tc>
          <w:tcPr>
            <w:tcW w:w="3785" w:type="dxa"/>
          </w:tcPr>
          <w:p>
            <w:pPr>
              <w:spacing w:line="440" w:lineRule="exact"/>
              <w:jc w:val="center"/>
              <w:rPr>
                <w:rFonts w:ascii="宋体" w:hAnsi="宋体"/>
                <w:color w:val="000000" w:themeColor="text1"/>
                <w:sz w:val="24"/>
              </w:rPr>
            </w:pPr>
            <w:r>
              <w:rPr>
                <w:rFonts w:ascii="宋体" w:hAnsi="宋体"/>
                <w:color w:val="000000" w:themeColor="text1"/>
                <w:sz w:val="24"/>
              </w:rPr>
              <w:fldChar w:fldCharType="begin"/>
            </w:r>
            <w:r>
              <w:rPr>
                <w:rFonts w:hint="eastAsia" w:ascii="宋体" w:hAnsi="宋体"/>
                <w:color w:val="000000" w:themeColor="text1"/>
                <w:sz w:val="24"/>
              </w:rPr>
              <w:instrText xml:space="preserve">MERGEFIELD 钢丝绳直径（mm）</w:instrText>
            </w:r>
            <w:r>
              <w:rPr>
                <w:rFonts w:ascii="宋体" w:hAnsi="宋体"/>
                <w:color w:val="000000" w:themeColor="text1"/>
                <w:sz w:val="24"/>
              </w:rPr>
              <w:fldChar w:fldCharType="separate"/>
            </w:r>
            <w:r>
              <w:rPr>
                <w:rFonts w:hint="eastAsia" w:ascii="宋体" w:hAnsi="宋体"/>
                <w:color w:val="000000" w:themeColor="text1"/>
                <w:sz w:val="24"/>
              </w:rPr>
              <w:t>φ12</w:t>
            </w:r>
            <w:r>
              <w:rPr>
                <w:rFonts w:ascii="宋体" w:hAnsi="宋体"/>
                <w:color w:val="000000" w:themeColor="text1"/>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42" w:type="dxa"/>
            <w:vMerge w:val="continue"/>
          </w:tcPr>
          <w:p>
            <w:pPr>
              <w:spacing w:line="440" w:lineRule="exact"/>
              <w:jc w:val="center"/>
              <w:rPr>
                <w:rFonts w:ascii="宋体" w:hAnsi="宋体"/>
                <w:sz w:val="24"/>
              </w:rPr>
            </w:pPr>
          </w:p>
        </w:tc>
        <w:tc>
          <w:tcPr>
            <w:tcW w:w="4511" w:type="dxa"/>
          </w:tcPr>
          <w:p>
            <w:pPr>
              <w:spacing w:line="440" w:lineRule="exact"/>
              <w:rPr>
                <w:rFonts w:ascii="宋体" w:hAnsi="宋体"/>
                <w:sz w:val="24"/>
              </w:rPr>
            </w:pPr>
            <w:r>
              <w:rPr>
                <w:rFonts w:hint="eastAsia" w:ascii="宋体" w:hAnsi="宋体"/>
                <w:sz w:val="24"/>
              </w:rPr>
              <w:t>钢丝绳长度（</w:t>
            </w:r>
            <w:r>
              <w:rPr>
                <w:rFonts w:ascii="宋体" w:hAnsi="宋体"/>
                <w:sz w:val="24"/>
              </w:rPr>
              <w:t>m</w:t>
            </w:r>
            <w:r>
              <w:rPr>
                <w:rFonts w:hint="eastAsia" w:ascii="宋体" w:hAnsi="宋体"/>
                <w:sz w:val="24"/>
              </w:rPr>
              <w:t>）</w:t>
            </w:r>
            <w:r>
              <w:rPr>
                <w:rFonts w:hint="eastAsia" w:cs="宋体" w:asciiTheme="majorEastAsia" w:hAnsiTheme="majorEastAsia" w:eastAsiaTheme="majorEastAsia"/>
                <w:sz w:val="18"/>
                <w:szCs w:val="18"/>
              </w:rPr>
              <w:t>≥</w:t>
            </w:r>
          </w:p>
        </w:tc>
        <w:tc>
          <w:tcPr>
            <w:tcW w:w="3785" w:type="dxa"/>
          </w:tcPr>
          <w:p>
            <w:pPr>
              <w:spacing w:line="440" w:lineRule="exact"/>
              <w:jc w:val="center"/>
              <w:rPr>
                <w:rFonts w:ascii="宋体" w:hAnsi="宋体"/>
                <w:color w:val="000000" w:themeColor="text1"/>
                <w:sz w:val="24"/>
              </w:rPr>
            </w:pPr>
            <w:r>
              <w:rPr>
                <w:rFonts w:ascii="宋体" w:hAnsi="宋体"/>
                <w:color w:val="000000" w:themeColor="text1"/>
                <w:sz w:val="24"/>
              </w:rPr>
              <w:fldChar w:fldCharType="begin"/>
            </w:r>
            <w:r>
              <w:rPr>
                <w:rFonts w:ascii="宋体" w:hAnsi="宋体"/>
                <w:color w:val="000000" w:themeColor="text1"/>
                <w:sz w:val="24"/>
              </w:rPr>
              <w:instrText xml:space="preserve"> MERGEFIELD 钢丝绳长度（m） </w:instrText>
            </w:r>
            <w:r>
              <w:rPr>
                <w:rFonts w:ascii="宋体" w:hAnsi="宋体"/>
                <w:color w:val="000000" w:themeColor="text1"/>
                <w:sz w:val="24"/>
              </w:rPr>
              <w:fldChar w:fldCharType="separate"/>
            </w:r>
            <w:r>
              <w:rPr>
                <w:rFonts w:ascii="宋体" w:hAnsi="宋体"/>
                <w:color w:val="000000" w:themeColor="text1"/>
                <w:sz w:val="24"/>
              </w:rPr>
              <w:t>25</w:t>
            </w:r>
            <w:r>
              <w:rPr>
                <w:rFonts w:ascii="宋体" w:hAnsi="宋体"/>
                <w:color w:val="000000" w:themeColor="text1"/>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42" w:type="dxa"/>
          </w:tcPr>
          <w:p>
            <w:pPr>
              <w:spacing w:line="440" w:lineRule="exact"/>
              <w:jc w:val="center"/>
              <w:rPr>
                <w:rFonts w:ascii="宋体" w:hAnsi="宋体"/>
                <w:sz w:val="24"/>
              </w:rPr>
            </w:pPr>
            <w:r>
              <w:rPr>
                <w:rFonts w:hint="eastAsia" w:ascii="宋体" w:hAnsi="宋体"/>
                <w:sz w:val="24"/>
              </w:rPr>
              <w:t>配置</w:t>
            </w:r>
          </w:p>
        </w:tc>
        <w:tc>
          <w:tcPr>
            <w:tcW w:w="8296" w:type="dxa"/>
            <w:gridSpan w:val="2"/>
          </w:tcPr>
          <w:p>
            <w:pPr>
              <w:spacing w:line="460" w:lineRule="exact"/>
              <w:jc w:val="left"/>
              <w:rPr>
                <w:sz w:val="24"/>
              </w:rPr>
            </w:pPr>
            <w:r>
              <w:rPr>
                <w:sz w:val="24"/>
              </w:rPr>
              <w:t>1</w:t>
            </w:r>
            <w:r>
              <w:rPr>
                <w:rFonts w:hint="eastAsia"/>
                <w:sz w:val="24"/>
              </w:rPr>
              <w:t>、托叉座一对</w:t>
            </w:r>
          </w:p>
          <w:p>
            <w:pPr>
              <w:spacing w:line="460" w:lineRule="exact"/>
              <w:jc w:val="left"/>
              <w:rPr>
                <w:sz w:val="24"/>
              </w:rPr>
            </w:pPr>
            <w:r>
              <w:rPr>
                <w:sz w:val="24"/>
              </w:rPr>
              <w:t>2</w:t>
            </w:r>
            <w:r>
              <w:rPr>
                <w:rFonts w:hint="eastAsia"/>
                <w:sz w:val="24"/>
              </w:rPr>
              <w:t>、托叉（大小）共两对，乙字型拖叉一对</w:t>
            </w:r>
          </w:p>
          <w:p>
            <w:pPr>
              <w:spacing w:line="460" w:lineRule="exact"/>
              <w:jc w:val="left"/>
              <w:rPr>
                <w:sz w:val="24"/>
              </w:rPr>
            </w:pPr>
            <w:r>
              <w:rPr>
                <w:sz w:val="24"/>
              </w:rPr>
              <w:t>3</w:t>
            </w:r>
            <w:r>
              <w:rPr>
                <w:rFonts w:hint="eastAsia"/>
                <w:sz w:val="24"/>
              </w:rPr>
              <w:t>、托车抱胎机构一对</w:t>
            </w:r>
          </w:p>
          <w:p>
            <w:pPr>
              <w:spacing w:line="460" w:lineRule="exact"/>
              <w:jc w:val="left"/>
              <w:rPr>
                <w:sz w:val="24"/>
              </w:rPr>
            </w:pPr>
            <w:r>
              <w:rPr>
                <w:sz w:val="24"/>
              </w:rPr>
              <w:t>4</w:t>
            </w:r>
            <w:r>
              <w:rPr>
                <w:rFonts w:hint="eastAsia"/>
                <w:sz w:val="24"/>
              </w:rPr>
              <w:t>、链带总成共七套（包含链钩）</w:t>
            </w:r>
          </w:p>
          <w:p>
            <w:pPr>
              <w:spacing w:line="460" w:lineRule="exact"/>
              <w:jc w:val="left"/>
              <w:rPr>
                <w:sz w:val="24"/>
              </w:rPr>
            </w:pPr>
            <w:r>
              <w:rPr>
                <w:sz w:val="24"/>
              </w:rPr>
              <w:t>5</w:t>
            </w:r>
            <w:r>
              <w:rPr>
                <w:rFonts w:hint="eastAsia"/>
                <w:sz w:val="24"/>
              </w:rPr>
              <w:t>、</w:t>
            </w:r>
            <w:r>
              <w:rPr>
                <w:sz w:val="24"/>
              </w:rPr>
              <w:t>LED</w:t>
            </w:r>
            <w:r>
              <w:rPr>
                <w:rFonts w:hint="eastAsia"/>
                <w:sz w:val="24"/>
              </w:rPr>
              <w:t>红黄蓝警灯警报器</w:t>
            </w:r>
          </w:p>
          <w:p>
            <w:pPr>
              <w:spacing w:line="460" w:lineRule="exact"/>
              <w:jc w:val="left"/>
              <w:rPr>
                <w:sz w:val="24"/>
              </w:rPr>
            </w:pPr>
            <w:r>
              <w:rPr>
                <w:sz w:val="24"/>
              </w:rPr>
              <w:t>6</w:t>
            </w:r>
            <w:r>
              <w:rPr>
                <w:rFonts w:hint="eastAsia"/>
                <w:sz w:val="24"/>
              </w:rPr>
              <w:t>、倒车后视屏</w:t>
            </w:r>
          </w:p>
          <w:p>
            <w:pPr>
              <w:spacing w:line="460" w:lineRule="exact"/>
              <w:jc w:val="left"/>
              <w:rPr>
                <w:sz w:val="24"/>
              </w:rPr>
            </w:pPr>
            <w:r>
              <w:rPr>
                <w:sz w:val="24"/>
              </w:rPr>
              <w:t>7</w:t>
            </w:r>
            <w:r>
              <w:rPr>
                <w:rFonts w:hint="eastAsia"/>
                <w:sz w:val="24"/>
              </w:rPr>
              <w:t>、不锈钢洗涤水箱</w:t>
            </w:r>
          </w:p>
          <w:p>
            <w:pPr>
              <w:spacing w:line="460" w:lineRule="exact"/>
              <w:jc w:val="left"/>
              <w:rPr>
                <w:sz w:val="24"/>
              </w:rPr>
            </w:pPr>
            <w:r>
              <w:rPr>
                <w:sz w:val="24"/>
              </w:rPr>
              <w:t>8</w:t>
            </w:r>
            <w:r>
              <w:rPr>
                <w:rFonts w:hint="eastAsia"/>
                <w:sz w:val="24"/>
              </w:rPr>
              <w:t>、限位器</w:t>
            </w:r>
          </w:p>
          <w:p>
            <w:pPr>
              <w:spacing w:line="460" w:lineRule="exact"/>
              <w:jc w:val="left"/>
              <w:rPr>
                <w:sz w:val="24"/>
              </w:rPr>
            </w:pPr>
            <w:r>
              <w:rPr>
                <w:sz w:val="24"/>
              </w:rPr>
              <w:t>9</w:t>
            </w:r>
            <w:r>
              <w:rPr>
                <w:rFonts w:hint="eastAsia"/>
                <w:sz w:val="24"/>
              </w:rPr>
              <w:t>、三层滑轮</w:t>
            </w:r>
          </w:p>
          <w:p>
            <w:pPr>
              <w:spacing w:line="460" w:lineRule="exact"/>
              <w:jc w:val="left"/>
              <w:rPr>
                <w:color w:val="000000" w:themeColor="text1"/>
                <w:sz w:val="24"/>
              </w:rPr>
            </w:pPr>
            <w:r>
              <w:rPr>
                <w:color w:val="000000" w:themeColor="text1"/>
                <w:sz w:val="24"/>
              </w:rPr>
              <w:t>10</w:t>
            </w:r>
            <w:r>
              <w:rPr>
                <w:rFonts w:hint="eastAsia"/>
                <w:color w:val="000000" w:themeColor="text1"/>
                <w:sz w:val="24"/>
              </w:rPr>
              <w:t>、辅助轮五套</w:t>
            </w:r>
          </w:p>
          <w:p>
            <w:pPr>
              <w:spacing w:line="460" w:lineRule="exact"/>
              <w:jc w:val="left"/>
              <w:rPr>
                <w:sz w:val="24"/>
              </w:rPr>
            </w:pPr>
            <w:r>
              <w:rPr>
                <w:sz w:val="24"/>
              </w:rPr>
              <w:t>11</w:t>
            </w:r>
            <w:r>
              <w:rPr>
                <w:rFonts w:hint="eastAsia"/>
                <w:sz w:val="24"/>
              </w:rPr>
              <w:t>、液压系统无线遥控器</w:t>
            </w:r>
          </w:p>
          <w:p>
            <w:pPr>
              <w:spacing w:line="460" w:lineRule="exact"/>
              <w:jc w:val="left"/>
              <w:rPr>
                <w:sz w:val="24"/>
              </w:rPr>
            </w:pPr>
            <w:r>
              <w:rPr>
                <w:sz w:val="24"/>
              </w:rPr>
              <w:t>12</w:t>
            </w:r>
            <w:r>
              <w:rPr>
                <w:rFonts w:hint="eastAsia"/>
                <w:sz w:val="24"/>
              </w:rPr>
              <w:t>、平板板面板材：加强板</w:t>
            </w:r>
          </w:p>
          <w:p>
            <w:pPr>
              <w:spacing w:line="460" w:lineRule="exact"/>
              <w:jc w:val="left"/>
              <w:rPr>
                <w:sz w:val="24"/>
              </w:rPr>
            </w:pPr>
            <w:r>
              <w:rPr>
                <w:sz w:val="24"/>
              </w:rPr>
              <w:t>13</w:t>
            </w:r>
            <w:r>
              <w:rPr>
                <w:rFonts w:hint="eastAsia"/>
                <w:sz w:val="24"/>
              </w:rPr>
              <w:t>、平板尾部竖立折叠（液压）</w:t>
            </w:r>
          </w:p>
        </w:tc>
      </w:tr>
    </w:tbl>
    <w:p>
      <w:pPr>
        <w:adjustRightInd w:val="0"/>
        <w:spacing w:line="340" w:lineRule="exact"/>
        <w:ind w:left="6" w:hanging="6"/>
        <w:rPr>
          <w:szCs w:val="21"/>
        </w:rPr>
      </w:pPr>
      <w:r>
        <w:rPr>
          <w:rFonts w:hint="eastAsia"/>
          <w:szCs w:val="21"/>
        </w:rPr>
        <w:t>备注：</w:t>
      </w:r>
    </w:p>
    <w:p>
      <w:pPr>
        <w:adjustRightInd w:val="0"/>
        <w:spacing w:line="340" w:lineRule="exact"/>
        <w:ind w:left="6" w:leftChars="3" w:firstLine="420" w:firstLineChars="200"/>
        <w:rPr>
          <w:rFonts w:ascii="宋体" w:hAnsi="宋体"/>
          <w:szCs w:val="21"/>
        </w:rPr>
      </w:pPr>
      <w:r>
        <w:rPr>
          <w:rFonts w:ascii="宋体" w:hAnsi="宋体"/>
          <w:szCs w:val="21"/>
        </w:rPr>
        <w:t>1</w:t>
      </w:r>
      <w:r>
        <w:rPr>
          <w:rFonts w:hint="eastAsia" w:ascii="宋体" w:hAnsi="宋体"/>
          <w:szCs w:val="21"/>
        </w:rPr>
        <w:t>、</w:t>
      </w:r>
      <w:r>
        <w:rPr>
          <w:rFonts w:hAnsi="宋体"/>
          <w:szCs w:val="21"/>
        </w:rPr>
        <w:t>本</w:t>
      </w:r>
      <w:r>
        <w:rPr>
          <w:rFonts w:hint="eastAsia" w:hAnsi="宋体"/>
          <w:szCs w:val="21"/>
        </w:rPr>
        <w:t>货物需求</w:t>
      </w:r>
      <w:r>
        <w:rPr>
          <w:rFonts w:hAnsi="宋体"/>
          <w:szCs w:val="21"/>
        </w:rPr>
        <w:t>一览表中</w:t>
      </w:r>
      <w:r>
        <w:rPr>
          <w:rFonts w:hint="eastAsia" w:ascii="宋体" w:hAnsi="宋体"/>
          <w:szCs w:val="21"/>
        </w:rPr>
        <w:t>，凡在“</w:t>
      </w:r>
      <w:r>
        <w:rPr>
          <w:rFonts w:ascii="宋体" w:hAnsi="宋体"/>
          <w:szCs w:val="21"/>
        </w:rPr>
        <w:t>技术</w:t>
      </w:r>
      <w:r>
        <w:rPr>
          <w:rFonts w:hint="eastAsia" w:ascii="宋体" w:hAnsi="宋体"/>
          <w:szCs w:val="21"/>
        </w:rPr>
        <w:t>指标</w:t>
      </w:r>
      <w:r>
        <w:rPr>
          <w:rFonts w:ascii="宋体" w:hAnsi="宋体"/>
          <w:szCs w:val="21"/>
        </w:rPr>
        <w:t>要求</w:t>
      </w:r>
      <w:r>
        <w:rPr>
          <w:rFonts w:hint="eastAsia" w:ascii="宋体" w:hAnsi="宋体"/>
          <w:szCs w:val="21"/>
        </w:rPr>
        <w:t>”中列有的技术指标要求，投标人均需完全响应(即满足或优于)</w:t>
      </w:r>
      <w:r>
        <w:rPr>
          <w:rFonts w:hint="eastAsia" w:ascii="Times New Roman" w:hAnsi="Times New Roman" w:eastAsia="宋体" w:cs="Times New Roman"/>
          <w:szCs w:val="21"/>
        </w:rPr>
        <w:t xml:space="preserve"> 。</w:t>
      </w:r>
    </w:p>
    <w:p>
      <w:pPr>
        <w:adjustRightInd w:val="0"/>
        <w:spacing w:line="340" w:lineRule="exact"/>
        <w:ind w:left="6" w:leftChars="3" w:firstLine="420" w:firstLineChars="200"/>
        <w:rPr>
          <w:rFonts w:ascii="宋体" w:hAnsi="宋体"/>
          <w:szCs w:val="21"/>
        </w:rPr>
      </w:pPr>
      <w:r>
        <w:rPr>
          <w:rFonts w:hint="eastAsia" w:ascii="宋体" w:hAnsi="宋体"/>
          <w:szCs w:val="21"/>
        </w:rPr>
        <w:t>2、本货物需求一览表中标注★号的内容为评标的实质性要求和条件，投标人必须完全响应，投标人有一项不满足的，其投标将被否决。未标注★号的内容为一般技术指标,不作为评标标准，</w:t>
      </w:r>
      <w:r>
        <w:rPr>
          <w:rFonts w:hint="eastAsia"/>
          <w:szCs w:val="21"/>
        </w:rPr>
        <w:t xml:space="preserve"> 带</w:t>
      </w:r>
      <w:r>
        <w:rPr>
          <w:rFonts w:hint="eastAsia" w:ascii="宋体" w:hAnsi="宋体"/>
          <w:szCs w:val="21"/>
        </w:rPr>
        <w:t>★</w:t>
      </w:r>
      <w:r>
        <w:rPr>
          <w:rFonts w:hint="eastAsia"/>
          <w:szCs w:val="21"/>
        </w:rPr>
        <w:t>号技术参数必须完全满足,</w:t>
      </w:r>
      <w:r>
        <w:rPr>
          <w:rFonts w:hint="eastAsia" w:ascii="Times New Roman" w:hAnsi="Times New Roman" w:eastAsia="宋体" w:cs="Times New Roman"/>
          <w:szCs w:val="21"/>
        </w:rPr>
        <w:t>每项技术参数响应应该标明技术支持的页码。</w:t>
      </w:r>
    </w:p>
    <w:p>
      <w:pPr>
        <w:spacing w:line="560" w:lineRule="exact"/>
        <w:jc w:val="left"/>
        <w:rPr>
          <w:rFonts w:ascii="宋体" w:hAnsi="宋体" w:cs="方正小标宋简体"/>
          <w:b/>
          <w:szCs w:val="21"/>
        </w:rPr>
      </w:pPr>
      <w:r>
        <w:rPr>
          <w:rFonts w:hint="eastAsia" w:ascii="宋体" w:hAnsi="宋体" w:cs="方正小标宋简体"/>
          <w:b/>
          <w:szCs w:val="21"/>
        </w:rPr>
        <w:t>1.基本要求</w:t>
      </w:r>
    </w:p>
    <w:p>
      <w:pPr>
        <w:spacing w:line="560" w:lineRule="exact"/>
        <w:ind w:firstLine="420" w:firstLineChars="200"/>
        <w:jc w:val="left"/>
        <w:rPr>
          <w:rFonts w:ascii="宋体" w:hAnsi="宋体" w:cs="方正小标宋简体"/>
          <w:bCs/>
          <w:szCs w:val="21"/>
        </w:rPr>
      </w:pPr>
      <w:bookmarkStart w:id="79" w:name="_Toc27869"/>
      <w:bookmarkStart w:id="80" w:name="_Toc3125"/>
      <w:r>
        <w:rPr>
          <w:rFonts w:ascii="宋体" w:hAnsi="宋体" w:cs="方正小标宋简体"/>
          <w:bCs/>
          <w:szCs w:val="21"/>
        </w:rPr>
        <w:t>产品应为经过国家行业主管部门认证的定型产品，列入《中华人民共和国发改委车辆生产企业及产品公告》，产品具备国家3C认证和环保认证</w:t>
      </w:r>
      <w:r>
        <w:rPr>
          <w:rFonts w:hint="eastAsia" w:ascii="宋体" w:hAnsi="宋体" w:cs="方正小标宋简体"/>
          <w:bCs/>
          <w:szCs w:val="21"/>
        </w:rPr>
        <w:t>。</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 机械设计合理，制造工艺先进，安全装置齐全可靠。</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1.2部分总成件采用进口件或具有国际先进水平并提供书面证明。</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1.3操作灵便，可维护性强。</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1.4.标准配置包括保证车辆设备正常工作所需的附件、工具和随机备件，并有装箱单。</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1.5随机配有车辆设备使用保养说明书、发动机保养说明书和零部件图册。</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1.6有可供用户和供应商双方操作的验收标准或条款。</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1.7所供车辆的漆面必须是原厂漆面、应清洁光亮；不得有脱漆、色差、划痕和瘪窝。</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1.8车辆内部的座椅及其他内饰件应完整清洁．不得有划伤、污点，使用时应方便灵活。</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1.9.车辆内、外部的灯光应齐全、有效。</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1.10车辆在运行过程中不得有异常响声，制动装置(包括手制动)和转向应灵活、有效；其动力性能和经济性能应符合设计要求；尾气排放达到国Ⅴ及以上标准，噪声符合现行中国标准。</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1.11报价人应主动协助使用方对车辆进行检验，查验发动机号、底盘号，交付所有证件、工具和主、副钥匙，并提供不少于 50 升的燃油。报价人应准确把握安徽当地机动车登记注册政策，所有车辆应具有国家规定的合法的上牌照手续，保证所有车辆能上牌照。</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1.12报价人应主动协助使用方做好新车辆的走合期保养，车辆发生故障时，报价人应主动与制造厂联系解决索赔问题。</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1.13车辆设备在使用过程中如零部件发生丢失和损坏，报价人应主动协助使用方操作人员按优惠价格配置原制造厂生产的优质零部件。</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1.14车辆交付为整车，含出厂标准配置和厂家选装配置（若买方要求且出厂不含）及特殊要求配置（若买方要求且厂家没有时可另购加装），所交付车辆制造日期必须为2021年10月1日以后。</w:t>
      </w:r>
    </w:p>
    <w:p>
      <w:pPr>
        <w:spacing w:line="560" w:lineRule="exact"/>
        <w:ind w:firstLine="422" w:firstLineChars="200"/>
        <w:jc w:val="left"/>
        <w:rPr>
          <w:rFonts w:ascii="宋体" w:hAnsi="宋体" w:cs="方正小标宋简体"/>
          <w:bCs/>
          <w:szCs w:val="21"/>
        </w:rPr>
      </w:pPr>
      <w:r>
        <w:rPr>
          <w:rFonts w:hint="eastAsia" w:ascii="宋体" w:hAnsi="宋体" w:cs="方正小标宋简体"/>
          <w:b/>
          <w:szCs w:val="21"/>
        </w:rPr>
        <w:t>2.主要技术参数与要求</w:t>
      </w:r>
      <w:bookmarkEnd w:id="79"/>
      <w:bookmarkEnd w:id="80"/>
    </w:p>
    <w:p>
      <w:pPr>
        <w:spacing w:line="560" w:lineRule="exact"/>
        <w:ind w:firstLine="420" w:firstLineChars="200"/>
        <w:jc w:val="left"/>
        <w:rPr>
          <w:rFonts w:ascii="宋体" w:hAnsi="宋体" w:cs="方正小标宋简体"/>
          <w:bCs/>
          <w:szCs w:val="21"/>
        </w:rPr>
      </w:pPr>
      <w:bookmarkStart w:id="81" w:name="_Toc25299"/>
      <w:bookmarkStart w:id="82" w:name="_Toc28261"/>
      <w:r>
        <w:rPr>
          <w:rFonts w:hint="eastAsia" w:ascii="宋体" w:hAnsi="宋体" w:cs="方正小标宋简体"/>
          <w:bCs/>
          <w:szCs w:val="21"/>
        </w:rPr>
        <w:t>2.1 参见“设备选型、技术指标一览表”的内容，需对其中所列各项指标和要求逐项明确响应。技术参数要求中加“*”的项目，是满足技术规格的最低要求。未加“*”的项目，不可缺省。</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2.2车底盘</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2.2.1要求选用已上目录的国产定型二类底盘，驾驶室内应有空调、收放机等设备；</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2.2.2在改装中，对底盘的主要结构不得进行伤害性改动，整车的动力性、安全性、经济性、操纵性能及环保性能等主要技术指标在同比条件下不得低于原底盘的相应指标。</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2.2.3报价文件中对 2.（1）中所列各项指标和要求须作逐项明确响应。</w:t>
      </w:r>
    </w:p>
    <w:p>
      <w:pPr>
        <w:spacing w:line="560" w:lineRule="exact"/>
        <w:ind w:firstLine="422" w:firstLineChars="200"/>
        <w:jc w:val="left"/>
        <w:rPr>
          <w:rFonts w:ascii="宋体" w:hAnsi="宋体" w:cs="方正小标宋简体"/>
          <w:b/>
          <w:szCs w:val="21"/>
        </w:rPr>
      </w:pPr>
      <w:r>
        <w:rPr>
          <w:rFonts w:hint="eastAsia" w:ascii="宋体" w:hAnsi="宋体" w:cs="方正小标宋简体"/>
          <w:b/>
          <w:szCs w:val="21"/>
        </w:rPr>
        <w:t>3.技术服务范围及验收标准</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3.1车辆规格性能均应符合或优于本标书的要求且为“零公里”新车，交货时每辆车须带≥50升燃油。</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3.2厂家提供使用说明书及维修手册1套。</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3.3厂家出示检验报告及合格证明。</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3.4外观上灯光和仪表应灵敏、完整、清晰、准确，整机涂漆光泽均匀、无油漆脱落锈蚀、碰伤，附具齐全完整。</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3.5各部件性能可靠，无渗漏，无异响，转动灵活，制动良好。</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3.6验收期限：交货后一周内。</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3.7提供到货天数：合同签订后15个日历日以内。</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3.8提供交货前办理相关天数（收到中标通知起，货到并办完所有入户相关费用后最快天数）：合同签订后15个日历日以内。</w:t>
      </w:r>
    </w:p>
    <w:p>
      <w:pPr>
        <w:spacing w:line="560" w:lineRule="exact"/>
        <w:ind w:firstLine="422" w:firstLineChars="200"/>
        <w:jc w:val="left"/>
        <w:rPr>
          <w:rFonts w:ascii="宋体" w:hAnsi="宋体" w:cs="方正小标宋简体"/>
          <w:b/>
          <w:szCs w:val="21"/>
        </w:rPr>
      </w:pPr>
      <w:r>
        <w:rPr>
          <w:rFonts w:hint="eastAsia" w:ascii="宋体" w:hAnsi="宋体" w:cs="方正小标宋简体"/>
          <w:b/>
          <w:szCs w:val="21"/>
        </w:rPr>
        <w:t>4.培训要求基本服务要求</w:t>
      </w:r>
      <w:bookmarkEnd w:id="81"/>
      <w:bookmarkEnd w:id="82"/>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4.1车辆（设备）安全操作规范、安全操作程序、用途、结构及维护和保养方法。</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4.2指导需方操作人员进行模拟操作及对不同事故的处理；</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4.3培训计划：不少于7天的理论和实际操作培训，保证参训人员熟练操作，懂得日常维保及维修，熟悉各部件功能，能够发现故障，能够准确与厂家技术人员进行技术沟通的能力。</w:t>
      </w:r>
    </w:p>
    <w:p>
      <w:pPr>
        <w:spacing w:line="560" w:lineRule="exact"/>
        <w:ind w:firstLine="422" w:firstLineChars="200"/>
        <w:jc w:val="left"/>
        <w:rPr>
          <w:rFonts w:ascii="宋体" w:hAnsi="宋体" w:cs="方正小标宋简体"/>
          <w:b/>
          <w:szCs w:val="21"/>
        </w:rPr>
      </w:pPr>
      <w:bookmarkStart w:id="83" w:name="_Toc2123"/>
      <w:bookmarkStart w:id="84" w:name="_Toc29210"/>
      <w:r>
        <w:rPr>
          <w:rFonts w:hint="eastAsia" w:ascii="宋体" w:hAnsi="宋体" w:cs="方正小标宋简体"/>
          <w:b/>
          <w:szCs w:val="21"/>
        </w:rPr>
        <w:t>5.质保期及售后服务</w:t>
      </w:r>
      <w:bookmarkEnd w:id="83"/>
      <w:bookmarkEnd w:id="84"/>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5.1设备（易损件除外）质保期见技术指标一览表（若技术指标一览表中未作出质保期要求，质保期从验收完成之日起按两年计算）；若厂家公开承诺质保期更长的，质保期从其承诺；质保期自设备验收合格之日起计。</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5.2在质保期内，接到需方服务信息后，2个小时内应做出明确回复，24小时内到达现场，72小时内处理完毕。</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5.3质保期内的维修工时及材料费用、维修人员的差旅费、宿费等由供方承担。</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5.4在质保期内，如设备或零部件因非人力因素出现故障而造成短期停用，则质保期和免费维修期相应顺延。</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5.5质保期内，供方在春运前和夏季高温天气期间免费进行 2 次/年全面维保工作。</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5.6质保期外出现故障时，供方应按质保期内时效规定提供维修服务，以优惠价格收取材料费及人工费。</w:t>
      </w:r>
    </w:p>
    <w:p>
      <w:pPr>
        <w:spacing w:line="560" w:lineRule="exact"/>
        <w:ind w:firstLine="420" w:firstLineChars="200"/>
        <w:jc w:val="left"/>
        <w:rPr>
          <w:rFonts w:hint="eastAsia" w:ascii="宋体" w:hAnsi="宋体" w:cs="方正小标宋简体"/>
          <w:bCs/>
          <w:szCs w:val="21"/>
        </w:rPr>
      </w:pPr>
      <w:r>
        <w:rPr>
          <w:rFonts w:hint="eastAsia" w:ascii="宋体" w:hAnsi="宋体" w:cs="方正小标宋简体"/>
          <w:bCs/>
          <w:szCs w:val="21"/>
        </w:rPr>
        <w:t>5.7售后服务：完善售后服务计划，每年不少于两次质量回访，提供维护保养报告，给予终身技术指导。</w:t>
      </w: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10"/>
        <w:numPr>
          <w:ilvl w:val="0"/>
          <w:numId w:val="4"/>
        </w:numPr>
        <w:spacing w:line="360" w:lineRule="auto"/>
        <w:ind w:firstLine="904" w:firstLineChars="300"/>
        <w:jc w:val="both"/>
        <w:rPr>
          <w:rFonts w:ascii="仿宋" w:hAnsi="仿宋" w:eastAsia="仿宋" w:cs="仿宋"/>
          <w:b/>
          <w:bCs/>
          <w:sz w:val="30"/>
          <w:szCs w:val="30"/>
        </w:rPr>
      </w:pPr>
      <w:r>
        <w:rPr>
          <w:rFonts w:hint="eastAsia" w:ascii="仿宋" w:hAnsi="仿宋" w:eastAsia="仿宋" w:cs="仿宋"/>
          <w:b/>
          <w:bCs/>
          <w:sz w:val="30"/>
          <w:szCs w:val="30"/>
        </w:rPr>
        <w:t>采购清单</w:t>
      </w:r>
    </w:p>
    <w:tbl>
      <w:tblPr>
        <w:tblStyle w:val="13"/>
        <w:tblpPr w:leftFromText="180" w:rightFromText="180" w:vertAnchor="text" w:horzAnchor="page" w:tblpX="1654" w:tblpY="67"/>
        <w:tblOverlap w:val="never"/>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2344"/>
        <w:gridCol w:w="1061"/>
        <w:gridCol w:w="1290"/>
        <w:gridCol w:w="885"/>
        <w:gridCol w:w="1009"/>
        <w:gridCol w:w="95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vAlign w:val="center"/>
          </w:tcPr>
          <w:p>
            <w:pPr>
              <w:jc w:val="center"/>
              <w:rPr>
                <w:sz w:val="30"/>
                <w:szCs w:val="30"/>
              </w:rPr>
            </w:pPr>
            <w:r>
              <w:rPr>
                <w:rFonts w:hint="eastAsia"/>
                <w:sz w:val="30"/>
                <w:szCs w:val="30"/>
              </w:rPr>
              <w:t>序号</w:t>
            </w:r>
          </w:p>
        </w:tc>
        <w:tc>
          <w:tcPr>
            <w:tcW w:w="2344" w:type="dxa"/>
            <w:vAlign w:val="center"/>
          </w:tcPr>
          <w:p>
            <w:pPr>
              <w:jc w:val="center"/>
              <w:rPr>
                <w:sz w:val="30"/>
                <w:szCs w:val="30"/>
              </w:rPr>
            </w:pPr>
            <w:r>
              <w:rPr>
                <w:rFonts w:hint="eastAsia"/>
                <w:sz w:val="30"/>
                <w:szCs w:val="30"/>
              </w:rPr>
              <w:t>名称</w:t>
            </w:r>
          </w:p>
        </w:tc>
        <w:tc>
          <w:tcPr>
            <w:tcW w:w="1061" w:type="dxa"/>
            <w:vAlign w:val="center"/>
          </w:tcPr>
          <w:p>
            <w:pPr>
              <w:jc w:val="center"/>
              <w:rPr>
                <w:sz w:val="30"/>
                <w:szCs w:val="30"/>
              </w:rPr>
            </w:pPr>
            <w:r>
              <w:rPr>
                <w:rFonts w:hint="eastAsia"/>
                <w:sz w:val="30"/>
                <w:szCs w:val="30"/>
              </w:rPr>
              <w:t>品牌型号</w:t>
            </w:r>
          </w:p>
        </w:tc>
        <w:tc>
          <w:tcPr>
            <w:tcW w:w="1290" w:type="dxa"/>
            <w:vAlign w:val="center"/>
          </w:tcPr>
          <w:p>
            <w:pPr>
              <w:jc w:val="center"/>
              <w:rPr>
                <w:sz w:val="30"/>
                <w:szCs w:val="30"/>
              </w:rPr>
            </w:pPr>
            <w:r>
              <w:rPr>
                <w:rFonts w:hint="eastAsia"/>
                <w:sz w:val="30"/>
                <w:szCs w:val="30"/>
              </w:rPr>
              <w:t>单位</w:t>
            </w:r>
          </w:p>
        </w:tc>
        <w:tc>
          <w:tcPr>
            <w:tcW w:w="885" w:type="dxa"/>
            <w:vAlign w:val="center"/>
          </w:tcPr>
          <w:p>
            <w:pPr>
              <w:jc w:val="center"/>
              <w:rPr>
                <w:sz w:val="30"/>
                <w:szCs w:val="30"/>
              </w:rPr>
            </w:pPr>
            <w:r>
              <w:rPr>
                <w:rFonts w:hint="eastAsia"/>
                <w:sz w:val="30"/>
                <w:szCs w:val="30"/>
              </w:rPr>
              <w:t>数量</w:t>
            </w:r>
          </w:p>
        </w:tc>
        <w:tc>
          <w:tcPr>
            <w:tcW w:w="1009" w:type="dxa"/>
            <w:vAlign w:val="center"/>
          </w:tcPr>
          <w:p>
            <w:pPr>
              <w:jc w:val="center"/>
              <w:rPr>
                <w:sz w:val="30"/>
                <w:szCs w:val="30"/>
              </w:rPr>
            </w:pPr>
            <w:r>
              <w:rPr>
                <w:rFonts w:hint="eastAsia"/>
                <w:sz w:val="30"/>
                <w:szCs w:val="30"/>
              </w:rPr>
              <w:t>颜色</w:t>
            </w:r>
          </w:p>
        </w:tc>
        <w:tc>
          <w:tcPr>
            <w:tcW w:w="956" w:type="dxa"/>
            <w:vAlign w:val="center"/>
          </w:tcPr>
          <w:p>
            <w:pPr>
              <w:jc w:val="center"/>
              <w:rPr>
                <w:sz w:val="30"/>
                <w:szCs w:val="30"/>
              </w:rPr>
            </w:pPr>
            <w:r>
              <w:rPr>
                <w:rFonts w:hint="eastAsia"/>
                <w:sz w:val="30"/>
                <w:szCs w:val="30"/>
              </w:rPr>
              <w:t>单价</w:t>
            </w:r>
          </w:p>
        </w:tc>
        <w:tc>
          <w:tcPr>
            <w:tcW w:w="1294"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497" w:type="dxa"/>
            <w:vAlign w:val="center"/>
          </w:tcPr>
          <w:p>
            <w:pPr>
              <w:spacing w:before="100" w:beforeAutospacing="1" w:after="100" w:afterAutospacing="1" w:line="360" w:lineRule="auto"/>
              <w:jc w:val="center"/>
              <w:rPr>
                <w:rFonts w:ascii="宋体" w:hAnsi="宋体" w:eastAsia="宋体" w:cs="宋体"/>
                <w:sz w:val="24"/>
              </w:rPr>
            </w:pPr>
            <w:r>
              <w:rPr>
                <w:rFonts w:hint="eastAsia" w:ascii="宋体" w:hAnsi="宋体" w:eastAsia="宋体" w:cs="宋体"/>
                <w:sz w:val="24"/>
              </w:rPr>
              <w:t>1</w:t>
            </w:r>
          </w:p>
        </w:tc>
        <w:tc>
          <w:tcPr>
            <w:tcW w:w="2344" w:type="dxa"/>
            <w:vAlign w:val="center"/>
          </w:tcPr>
          <w:p>
            <w:pPr>
              <w:widowControl/>
              <w:jc w:val="center"/>
              <w:textAlignment w:val="center"/>
              <w:rPr>
                <w:rFonts w:ascii="宋体" w:hAnsi="宋体" w:cs="宋体"/>
                <w:color w:val="FF0000"/>
                <w:sz w:val="24"/>
              </w:rPr>
            </w:pPr>
            <w:r>
              <w:rPr>
                <w:rFonts w:hint="eastAsia"/>
                <w:color w:val="auto"/>
                <w:sz w:val="24"/>
              </w:rPr>
              <w:t>平板型清障车</w:t>
            </w:r>
          </w:p>
        </w:tc>
        <w:tc>
          <w:tcPr>
            <w:tcW w:w="1061" w:type="dxa"/>
            <w:vAlign w:val="center"/>
          </w:tcPr>
          <w:p>
            <w:pPr>
              <w:widowControl/>
              <w:jc w:val="center"/>
              <w:textAlignment w:val="center"/>
              <w:rPr>
                <w:rFonts w:cs="宋体"/>
                <w:sz w:val="24"/>
              </w:rPr>
            </w:pPr>
          </w:p>
        </w:tc>
        <w:tc>
          <w:tcPr>
            <w:tcW w:w="1290" w:type="dxa"/>
            <w:vAlign w:val="center"/>
          </w:tcPr>
          <w:p>
            <w:pPr>
              <w:jc w:val="center"/>
              <w:rPr>
                <w:rFonts w:ascii="宋体" w:hAnsi="宋体" w:eastAsia="宋体" w:cs="宋体"/>
                <w:sz w:val="24"/>
              </w:rPr>
            </w:pPr>
            <w:r>
              <w:rPr>
                <w:rFonts w:hint="eastAsia" w:ascii="宋体" w:hAnsi="宋体" w:eastAsia="宋体" w:cs="宋体"/>
                <w:sz w:val="24"/>
              </w:rPr>
              <w:t>台</w:t>
            </w:r>
          </w:p>
        </w:tc>
        <w:tc>
          <w:tcPr>
            <w:tcW w:w="885" w:type="dxa"/>
            <w:vAlign w:val="center"/>
          </w:tcPr>
          <w:p>
            <w:pPr>
              <w:jc w:val="center"/>
              <w:rPr>
                <w:rFonts w:ascii="宋体" w:hAnsi="宋体" w:eastAsia="宋体" w:cs="宋体"/>
                <w:sz w:val="24"/>
              </w:rPr>
            </w:pPr>
            <w:r>
              <w:rPr>
                <w:rFonts w:hint="eastAsia" w:ascii="宋体" w:hAnsi="宋体" w:eastAsia="宋体" w:cs="宋体"/>
                <w:sz w:val="24"/>
              </w:rPr>
              <w:t>1</w:t>
            </w:r>
          </w:p>
        </w:tc>
        <w:tc>
          <w:tcPr>
            <w:tcW w:w="1009" w:type="dxa"/>
            <w:vAlign w:val="center"/>
          </w:tcPr>
          <w:p>
            <w:pPr>
              <w:spacing w:before="100" w:beforeAutospacing="1" w:after="100" w:afterAutospacing="1" w:line="300" w:lineRule="exact"/>
              <w:jc w:val="center"/>
              <w:rPr>
                <w:rFonts w:cs="宋体"/>
                <w:sz w:val="24"/>
              </w:rPr>
            </w:pPr>
            <w:r>
              <w:rPr>
                <w:rFonts w:hint="eastAsia" w:cs="宋体"/>
                <w:sz w:val="24"/>
              </w:rPr>
              <w:t>工程黄</w:t>
            </w:r>
          </w:p>
        </w:tc>
        <w:tc>
          <w:tcPr>
            <w:tcW w:w="956" w:type="dxa"/>
            <w:vAlign w:val="center"/>
          </w:tcPr>
          <w:p>
            <w:pPr>
              <w:jc w:val="center"/>
              <w:rPr>
                <w:sz w:val="30"/>
                <w:szCs w:val="30"/>
              </w:rPr>
            </w:pPr>
          </w:p>
        </w:tc>
        <w:tc>
          <w:tcPr>
            <w:tcW w:w="1294"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vAlign w:val="center"/>
          </w:tcPr>
          <w:p>
            <w:pPr>
              <w:spacing w:before="100" w:beforeAutospacing="1" w:after="100" w:afterAutospacing="1" w:line="360" w:lineRule="auto"/>
              <w:jc w:val="center"/>
              <w:rPr>
                <w:rFonts w:ascii="宋体" w:hAnsi="宋体" w:eastAsia="宋体" w:cs="宋体"/>
                <w:sz w:val="24"/>
              </w:rPr>
            </w:pPr>
            <w:bookmarkStart w:id="85" w:name="_Toc9834_WPSOffice_Level1"/>
          </w:p>
        </w:tc>
        <w:tc>
          <w:tcPr>
            <w:tcW w:w="2344" w:type="dxa"/>
            <w:vAlign w:val="center"/>
          </w:tcPr>
          <w:p>
            <w:pPr>
              <w:widowControl/>
              <w:jc w:val="center"/>
              <w:textAlignment w:val="center"/>
              <w:rPr>
                <w:rFonts w:ascii="宋体" w:hAnsi="宋体" w:eastAsia="宋体" w:cs="宋体"/>
                <w:sz w:val="24"/>
              </w:rPr>
            </w:pPr>
          </w:p>
        </w:tc>
        <w:tc>
          <w:tcPr>
            <w:tcW w:w="1061" w:type="dxa"/>
            <w:vAlign w:val="center"/>
          </w:tcPr>
          <w:p>
            <w:pPr>
              <w:widowControl/>
              <w:jc w:val="center"/>
              <w:textAlignment w:val="center"/>
              <w:rPr>
                <w:rFonts w:cs="宋体"/>
                <w:sz w:val="24"/>
              </w:rPr>
            </w:pPr>
          </w:p>
        </w:tc>
        <w:tc>
          <w:tcPr>
            <w:tcW w:w="1290" w:type="dxa"/>
            <w:vAlign w:val="center"/>
          </w:tcPr>
          <w:p>
            <w:pPr>
              <w:jc w:val="center"/>
              <w:rPr>
                <w:rFonts w:ascii="宋体" w:hAnsi="宋体" w:eastAsia="宋体" w:cs="宋体"/>
                <w:sz w:val="24"/>
              </w:rPr>
            </w:pPr>
          </w:p>
        </w:tc>
        <w:tc>
          <w:tcPr>
            <w:tcW w:w="885" w:type="dxa"/>
            <w:vAlign w:val="center"/>
          </w:tcPr>
          <w:p>
            <w:pPr>
              <w:jc w:val="center"/>
              <w:rPr>
                <w:rFonts w:ascii="宋体" w:hAnsi="宋体" w:eastAsia="宋体" w:cs="宋体"/>
                <w:sz w:val="24"/>
              </w:rPr>
            </w:pPr>
          </w:p>
        </w:tc>
        <w:tc>
          <w:tcPr>
            <w:tcW w:w="1009" w:type="dxa"/>
            <w:vAlign w:val="center"/>
          </w:tcPr>
          <w:p>
            <w:pPr>
              <w:spacing w:before="100" w:beforeAutospacing="1" w:after="100" w:afterAutospacing="1" w:line="360" w:lineRule="auto"/>
              <w:jc w:val="center"/>
              <w:rPr>
                <w:rFonts w:cs="宋体"/>
                <w:sz w:val="24"/>
              </w:rPr>
            </w:pPr>
          </w:p>
        </w:tc>
        <w:tc>
          <w:tcPr>
            <w:tcW w:w="956" w:type="dxa"/>
            <w:vAlign w:val="center"/>
          </w:tcPr>
          <w:p>
            <w:pPr>
              <w:jc w:val="center"/>
              <w:rPr>
                <w:sz w:val="30"/>
                <w:szCs w:val="30"/>
              </w:rPr>
            </w:pPr>
          </w:p>
        </w:tc>
        <w:tc>
          <w:tcPr>
            <w:tcW w:w="1294" w:type="dxa"/>
            <w:vAlign w:val="center"/>
          </w:tcPr>
          <w:p>
            <w:pPr>
              <w:jc w:val="center"/>
              <w:rPr>
                <w:sz w:val="30"/>
                <w:szCs w:val="30"/>
              </w:rPr>
            </w:pPr>
          </w:p>
        </w:tc>
      </w:tr>
    </w:tbl>
    <w:p>
      <w:pPr>
        <w:jc w:val="center"/>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第六章</w:t>
      </w:r>
      <w:r>
        <w:rPr>
          <w:rFonts w:ascii="Times New Roman" w:hAnsi="Times New Roman" w:eastAsia="宋体" w:cs="Times New Roman"/>
          <w:b/>
          <w:bCs/>
          <w:sz w:val="36"/>
          <w:szCs w:val="36"/>
        </w:rPr>
        <w:t>响应文件格式</w:t>
      </w:r>
      <w:bookmarkEnd w:id="85"/>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(项目名称)合同包询比</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6" w:name="_Toc17394_WPSOffice_Level1"/>
      <w:bookmarkStart w:id="87" w:name="_Toc1914_WPSOffice_Level1"/>
      <w:bookmarkStart w:id="88" w:name="_Toc5145_WPSOffice_Level1"/>
      <w:bookmarkStart w:id="89" w:name="_Toc27552_WPSOffice_Level1"/>
      <w:r>
        <w:rPr>
          <w:rFonts w:ascii="Times New Roman" w:hAnsi="Times New Roman" w:eastAsia="黑体" w:cs="Times New Roman"/>
          <w:sz w:val="50"/>
          <w:szCs w:val="50"/>
        </w:rPr>
        <w:t>响应文件</w:t>
      </w:r>
      <w:bookmarkEnd w:id="86"/>
      <w:bookmarkEnd w:id="87"/>
      <w:bookmarkEnd w:id="88"/>
      <w:bookmarkEnd w:id="89"/>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90" w:name="_Toc5520_WPSOffice_Level2"/>
      <w:bookmarkStart w:id="91" w:name="_Toc25232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90"/>
      <w:bookmarkEnd w:id="91"/>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bookmarkStart w:id="92" w:name="_Toc31577_WPSOffice_Level2"/>
      <w:bookmarkStart w:id="93" w:name="_Toc20076_WPSOffice_Level2"/>
      <w:r>
        <w:rPr>
          <w:rFonts w:ascii="Times New Roman" w:hAnsi="Times New Roman" w:eastAsia="黑体" w:cs="Times New Roman"/>
          <w:sz w:val="28"/>
          <w:szCs w:val="28"/>
        </w:rPr>
        <w:t>年月日</w:t>
      </w:r>
      <w:bookmarkEnd w:id="92"/>
      <w:bookmarkEnd w:id="93"/>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94" w:name="_Toc22351_WPSOffice_Level2"/>
      <w:bookmarkStart w:id="95" w:name="_Toc21974_WPSOffice_Level2"/>
      <w:r>
        <w:rPr>
          <w:rFonts w:ascii="Times New Roman" w:hAnsi="Times New Roman" w:eastAsia="黑体" w:cs="Times New Roman"/>
          <w:sz w:val="28"/>
          <w:szCs w:val="28"/>
        </w:rPr>
        <w:t>目录</w:t>
      </w:r>
      <w:bookmarkEnd w:id="94"/>
      <w:bookmarkEnd w:id="95"/>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6" w:name="_Toc6353_WPSOffice_Level1"/>
      <w:bookmarkStart w:id="97" w:name="_Toc11424_WPSOffice_Level1"/>
      <w:bookmarkStart w:id="98" w:name="_Toc23368_WPSOffice_Level1"/>
      <w:bookmarkStart w:id="99" w:name="_Toc30529_WPSOffice_Level1"/>
      <w:bookmarkStart w:id="100" w:name="_Toc12670_WPSOffice_Level1"/>
      <w:r>
        <w:rPr>
          <w:rFonts w:ascii="Times New Roman" w:hAnsi="Times New Roman" w:eastAsia="黑体" w:cs="Times New Roman"/>
          <w:sz w:val="24"/>
        </w:rPr>
        <w:t>一、报价函</w:t>
      </w:r>
      <w:bookmarkEnd w:id="96"/>
      <w:bookmarkEnd w:id="97"/>
      <w:bookmarkEnd w:id="98"/>
      <w:bookmarkEnd w:id="99"/>
    </w:p>
    <w:p>
      <w:pPr>
        <w:spacing w:line="440" w:lineRule="exact"/>
        <w:ind w:left="1619" w:leftChars="771"/>
        <w:rPr>
          <w:rFonts w:ascii="Times New Roman" w:hAnsi="Times New Roman" w:eastAsia="黑体" w:cs="Times New Roman"/>
          <w:sz w:val="24"/>
        </w:rPr>
      </w:pPr>
      <w:bookmarkStart w:id="101" w:name="_Toc32729_WPSOffice_Level1"/>
      <w:bookmarkStart w:id="102" w:name="_Toc5317_WPSOffice_Level1"/>
      <w:bookmarkStart w:id="103" w:name="_Toc21229_WPSOffice_Level1"/>
      <w:bookmarkStart w:id="104" w:name="_Toc31927_WPSOffice_Level1"/>
      <w:r>
        <w:rPr>
          <w:rFonts w:ascii="Times New Roman" w:hAnsi="Times New Roman" w:eastAsia="黑体" w:cs="Times New Roman"/>
          <w:sz w:val="24"/>
        </w:rPr>
        <w:t>二、法定代表人身份证明及授权委托书</w:t>
      </w:r>
      <w:bookmarkEnd w:id="101"/>
      <w:bookmarkEnd w:id="102"/>
      <w:bookmarkEnd w:id="103"/>
      <w:bookmarkEnd w:id="104"/>
    </w:p>
    <w:p>
      <w:pPr>
        <w:spacing w:line="440" w:lineRule="exact"/>
        <w:ind w:left="1619" w:leftChars="771"/>
        <w:rPr>
          <w:rFonts w:ascii="Times New Roman" w:hAnsi="Times New Roman" w:eastAsia="黑体" w:cs="Times New Roman"/>
          <w:sz w:val="24"/>
        </w:rPr>
      </w:pPr>
      <w:bookmarkStart w:id="105" w:name="_Toc29085_WPSOffice_Level1"/>
      <w:bookmarkStart w:id="106" w:name="_Toc25965_WPSOffice_Level1"/>
      <w:bookmarkStart w:id="107" w:name="_Toc4728_WPSOffice_Level1"/>
      <w:bookmarkStart w:id="108" w:name="_Toc23356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05"/>
      <w:bookmarkEnd w:id="106"/>
      <w:bookmarkEnd w:id="107"/>
      <w:bookmarkEnd w:id="108"/>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09" w:name="_Toc18964_WPSOffice_Level1"/>
      <w:bookmarkStart w:id="110" w:name="_Toc10608_WPSOffice_Level1"/>
      <w:bookmarkStart w:id="111" w:name="_Toc7453_WPSOffice_Level1"/>
      <w:bookmarkStart w:id="112" w:name="_Toc23744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09"/>
      <w:bookmarkEnd w:id="110"/>
      <w:bookmarkEnd w:id="111"/>
      <w:bookmarkEnd w:id="112"/>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13" w:name="_Toc9006_WPSOffice_Level1"/>
      <w:bookmarkStart w:id="114" w:name="_Toc1578_WPSOffice_Level1"/>
      <w:bookmarkStart w:id="115" w:name="_Toc19601_WPSOffice_Level1"/>
      <w:bookmarkStart w:id="116" w:name="_Toc23751_WPSOffice_Level1"/>
      <w:r>
        <w:rPr>
          <w:rFonts w:hint="eastAsia" w:ascii="Times New Roman" w:hAnsi="Times New Roman" w:eastAsia="黑体" w:cs="Times New Roman"/>
          <w:sz w:val="24"/>
        </w:rPr>
        <w:t>五、</w:t>
      </w:r>
      <w:bookmarkEnd w:id="113"/>
      <w:bookmarkEnd w:id="114"/>
      <w:bookmarkEnd w:id="115"/>
      <w:bookmarkEnd w:id="116"/>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17" w:name="_Toc31314_WPSOffice_Level1"/>
      <w:bookmarkStart w:id="118" w:name="_Toc24082_WPSOffice_Level1"/>
      <w:bookmarkStart w:id="119" w:name="_Toc24262_WPSOffice_Level1"/>
      <w:bookmarkStart w:id="120" w:name="_Toc12459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7"/>
      <w:bookmarkEnd w:id="118"/>
      <w:r>
        <w:rPr>
          <w:rFonts w:hint="eastAsia" w:ascii="Times New Roman" w:hAnsi="Times New Roman" w:eastAsia="黑体" w:cs="Times New Roman"/>
          <w:sz w:val="24"/>
        </w:rPr>
        <w:t>信誉情况</w:t>
      </w:r>
    </w:p>
    <w:p>
      <w:pPr>
        <w:spacing w:line="440" w:lineRule="exact"/>
        <w:ind w:left="1619" w:leftChars="771"/>
        <w:rPr>
          <w:rFonts w:ascii="Times New Roman" w:hAnsi="Times New Roman" w:eastAsia="黑体" w:cs="Times New Roman"/>
          <w:sz w:val="24"/>
        </w:rPr>
      </w:pPr>
      <w:bookmarkStart w:id="121" w:name="_Toc20930_WPSOffice_Level1"/>
      <w:bookmarkStart w:id="122" w:name="_Toc32220_WPSOffice_Level1"/>
      <w:r>
        <w:rPr>
          <w:rFonts w:hint="eastAsia" w:ascii="Times New Roman" w:hAnsi="Times New Roman" w:eastAsia="黑体" w:cs="Times New Roman"/>
          <w:sz w:val="24"/>
        </w:rPr>
        <w:t>七</w:t>
      </w:r>
      <w:bookmarkEnd w:id="119"/>
      <w:bookmarkEnd w:id="120"/>
      <w:bookmarkEnd w:id="121"/>
      <w:bookmarkEnd w:id="122"/>
      <w:bookmarkStart w:id="123" w:name="_Toc25804_WPSOffice_Level1"/>
      <w:bookmarkStart w:id="124" w:name="_Toc27403_WPSOffice_Level1"/>
      <w:bookmarkStart w:id="125" w:name="_Toc32648_WPSOffice_Level1"/>
      <w:bookmarkStart w:id="126" w:name="_Toc30273_WPSOffice_Level1"/>
      <w:r>
        <w:rPr>
          <w:rFonts w:ascii="Times New Roman" w:hAnsi="Times New Roman" w:eastAsia="黑体" w:cs="Times New Roman"/>
          <w:sz w:val="24"/>
        </w:rPr>
        <w:t>、</w:t>
      </w:r>
      <w:bookmarkEnd w:id="123"/>
      <w:bookmarkEnd w:id="124"/>
      <w:bookmarkEnd w:id="125"/>
      <w:bookmarkEnd w:id="126"/>
      <w:r>
        <w:rPr>
          <w:rFonts w:hint="eastAsia" w:ascii="Times New Roman" w:hAnsi="Times New Roman" w:eastAsia="黑体" w:cs="Times New Roman"/>
          <w:sz w:val="24"/>
        </w:rPr>
        <w:t>技术性能（质量）指标描述</w:t>
      </w:r>
    </w:p>
    <w:p>
      <w:pPr>
        <w:spacing w:line="440" w:lineRule="exact"/>
        <w:ind w:left="1619" w:leftChars="771"/>
        <w:rPr>
          <w:rFonts w:ascii="Times New Roman" w:hAnsi="Times New Roman" w:eastAsia="黑体" w:cs="Times New Roman"/>
          <w:sz w:val="24"/>
        </w:rPr>
      </w:pPr>
      <w:bookmarkStart w:id="127" w:name="_Toc23147_WPSOffice_Level1"/>
      <w:bookmarkStart w:id="128" w:name="_Toc4051_WPSOffice_Level1"/>
      <w:bookmarkStart w:id="129" w:name="_Toc30234_WPSOffice_Level1"/>
      <w:bookmarkStart w:id="130" w:name="_Toc32152_WPSOffice_Level1"/>
      <w:r>
        <w:rPr>
          <w:rFonts w:hint="eastAsia" w:ascii="Times New Roman" w:hAnsi="Times New Roman" w:eastAsia="黑体" w:cs="Times New Roman"/>
          <w:sz w:val="24"/>
        </w:rPr>
        <w:t>八</w:t>
      </w:r>
      <w:r>
        <w:rPr>
          <w:rFonts w:ascii="Times New Roman" w:hAnsi="Times New Roman" w:eastAsia="黑体" w:cs="Times New Roman"/>
          <w:sz w:val="24"/>
        </w:rPr>
        <w:t>、</w:t>
      </w:r>
      <w:bookmarkEnd w:id="127"/>
      <w:bookmarkEnd w:id="128"/>
      <w:bookmarkEnd w:id="129"/>
      <w:bookmarkEnd w:id="130"/>
      <w:r>
        <w:rPr>
          <w:rFonts w:hint="eastAsia" w:ascii="Times New Roman" w:hAnsi="Times New Roman" w:eastAsia="黑体" w:cs="Times New Roman"/>
          <w:sz w:val="24"/>
        </w:rPr>
        <w:t>供货方案</w:t>
      </w:r>
    </w:p>
    <w:p>
      <w:pPr>
        <w:spacing w:line="440" w:lineRule="exact"/>
        <w:ind w:left="1619" w:leftChars="771"/>
        <w:rPr>
          <w:rFonts w:ascii="Times New Roman" w:hAnsi="Times New Roman" w:eastAsia="黑体" w:cs="Times New Roman"/>
          <w:sz w:val="24"/>
        </w:rPr>
      </w:pPr>
      <w:bookmarkStart w:id="131" w:name="_Toc16988_WPSOffice_Level1"/>
      <w:bookmarkStart w:id="132" w:name="_Toc5885_WPSOffice_Level1"/>
      <w:r>
        <w:rPr>
          <w:rFonts w:hint="eastAsia" w:ascii="Times New Roman" w:hAnsi="Times New Roman" w:eastAsia="黑体" w:cs="Times New Roman"/>
          <w:sz w:val="24"/>
        </w:rPr>
        <w:t>九、其他材料</w:t>
      </w:r>
      <w:bookmarkEnd w:id="100"/>
      <w:bookmarkEnd w:id="131"/>
      <w:bookmarkEnd w:id="132"/>
    </w:p>
    <w:p>
      <w:pPr>
        <w:spacing w:line="440" w:lineRule="exact"/>
        <w:ind w:left="1619" w:leftChars="771"/>
        <w:rPr>
          <w:rFonts w:ascii="Times New Roman" w:hAnsi="Times New Roman" w:eastAsia="黑体" w:cs="Times New Roman"/>
          <w:sz w:val="24"/>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133" w:name="_Toc2765_WPSOffice_Level1"/>
      <w:bookmarkStart w:id="134" w:name="_Toc29399_WPSOffice_Level1"/>
      <w:bookmarkStart w:id="135" w:name="_Toc1687_WPSOffice_Level1"/>
      <w:bookmarkStart w:id="136" w:name="_Toc30031_WPSOffice_Level1"/>
      <w:bookmarkStart w:id="137" w:name="_Toc18312_WPSOffice_Level1"/>
      <w:r>
        <w:rPr>
          <w:rFonts w:ascii="Times New Roman" w:hAnsi="Times New Roman" w:eastAsia="黑体" w:cs="Times New Roman"/>
          <w:sz w:val="28"/>
          <w:szCs w:val="28"/>
        </w:rPr>
        <w:t>一、报价函</w:t>
      </w:r>
      <w:bookmarkEnd w:id="133"/>
      <w:bookmarkEnd w:id="134"/>
      <w:bookmarkEnd w:id="135"/>
      <w:bookmarkEnd w:id="136"/>
      <w:bookmarkEnd w:id="137"/>
    </w:p>
    <w:p>
      <w:pPr>
        <w:spacing w:line="440" w:lineRule="exact"/>
        <w:rPr>
          <w:rFonts w:ascii="Times New Roman" w:hAnsi="Times New Roman" w:cs="Times New Roman"/>
          <w:sz w:val="24"/>
        </w:rPr>
      </w:pP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第</w:t>
      </w:r>
      <w:r>
        <w:rPr>
          <w:rFonts w:ascii="Times New Roman" w:hAnsi="Times New Roman" w:cs="Times New Roman"/>
          <w:sz w:val="24"/>
        </w:rPr>
        <w:t>合同包询比文件的全部内容，愿意以人民币(大写)(小写：¥)的总报价，</w:t>
      </w:r>
      <w:r>
        <w:rPr>
          <w:rFonts w:hint="eastAsia" w:ascii="Times New Roman" w:hAnsi="Times New Roman" w:cs="Times New Roman"/>
          <w:sz w:val="24"/>
        </w:rPr>
        <w:t>交货期</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pStyle w:val="2"/>
        <w:ind w:firstLine="480" w:firstLineChars="200"/>
      </w:pPr>
      <w:r>
        <w:rPr>
          <w:rFonts w:hint="eastAsia" w:ascii="Times New Roman" w:hAnsi="Times New Roman" w:cs="Times New Roman"/>
          <w:sz w:val="24"/>
        </w:rPr>
        <w:t>(4)我方承诺车辆符合国家入户、上牌标准，如因我方原因车辆不能入户，损失由我方赔付。</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p>
    <w:p>
      <w:pPr>
        <w:spacing w:line="400" w:lineRule="exact"/>
        <w:ind w:firstLine="4740" w:firstLineChars="1975"/>
        <w:rPr>
          <w:rFonts w:ascii="Times New Roman" w:hAnsi="Times New Roman" w:cs="Times New Roman"/>
          <w:sz w:val="24"/>
        </w:rPr>
      </w:pPr>
      <w:r>
        <w:rPr>
          <w:rFonts w:ascii="Times New Roman" w:hAnsi="Times New Roman" w:cs="Times New Roman"/>
          <w:sz w:val="24"/>
        </w:rPr>
        <w:t>年月日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38" w:name="_Toc12530_WPSOffice_Level1"/>
      <w:bookmarkStart w:id="139" w:name="_Toc14563_WPSOffice_Level1"/>
      <w:bookmarkStart w:id="140" w:name="_Toc18668_WPSOffice_Level1"/>
      <w:bookmarkStart w:id="141" w:name="_Toc32350_WPSOffice_Level1"/>
      <w:bookmarkStart w:id="142" w:name="_Toc8695_WPSOffice_Level1"/>
      <w:r>
        <w:rPr>
          <w:rFonts w:ascii="Times New Roman" w:hAnsi="Times New Roman" w:eastAsia="黑体" w:cs="Times New Roman"/>
          <w:sz w:val="28"/>
          <w:szCs w:val="28"/>
        </w:rPr>
        <w:t>二、法定代表人身份证明及授权委托书</w:t>
      </w:r>
      <w:bookmarkEnd w:id="138"/>
      <w:bookmarkEnd w:id="139"/>
      <w:bookmarkEnd w:id="140"/>
      <w:bookmarkEnd w:id="141"/>
      <w:bookmarkEnd w:id="142"/>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43" w:name="_Toc5153_WPSOffice_Level2"/>
      <w:bookmarkStart w:id="144" w:name="_Toc20803_WPSOffice_Level2"/>
      <w:r>
        <w:rPr>
          <w:rFonts w:ascii="Times New Roman" w:hAnsi="Times New Roman" w:eastAsia="黑体" w:cs="Times New Roman"/>
          <w:bCs/>
          <w:sz w:val="28"/>
          <w:szCs w:val="28"/>
        </w:rPr>
        <w:t>2-1 法定代表人身份证明</w:t>
      </w:r>
      <w:bookmarkEnd w:id="143"/>
      <w:bookmarkEnd w:id="144"/>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p>
    <w:p>
      <w:pPr>
        <w:spacing w:line="440" w:lineRule="exact"/>
        <w:rPr>
          <w:rFonts w:ascii="Times New Roman" w:hAnsi="Times New Roman" w:cs="Times New Roman"/>
          <w:sz w:val="24"/>
        </w:rPr>
      </w:pPr>
      <w:r>
        <w:rPr>
          <w:rFonts w:ascii="Times New Roman" w:hAnsi="Times New Roman" w:cs="Times New Roman"/>
          <w:sz w:val="24"/>
        </w:rPr>
        <w:t>单位性质：</w:t>
      </w:r>
    </w:p>
    <w:p>
      <w:pPr>
        <w:spacing w:line="440" w:lineRule="exact"/>
        <w:rPr>
          <w:rFonts w:ascii="Times New Roman" w:hAnsi="Times New Roman" w:cs="Times New Roman"/>
          <w:sz w:val="24"/>
        </w:rPr>
      </w:pPr>
      <w:r>
        <w:rPr>
          <w:rFonts w:ascii="Times New Roman" w:hAnsi="Times New Roman" w:cs="Times New Roman"/>
          <w:sz w:val="24"/>
        </w:rPr>
        <w:t>地址：</w:t>
      </w:r>
    </w:p>
    <w:p>
      <w:pPr>
        <w:spacing w:line="440" w:lineRule="exact"/>
        <w:rPr>
          <w:rFonts w:ascii="Times New Roman" w:hAnsi="Times New Roman" w:cs="Times New Roman"/>
          <w:sz w:val="24"/>
        </w:rPr>
      </w:pPr>
      <w:r>
        <w:rPr>
          <w:rFonts w:ascii="Times New Roman" w:hAnsi="Times New Roman" w:cs="Times New Roman"/>
          <w:sz w:val="24"/>
        </w:rPr>
        <w:t>成立时间：年月日</w:t>
      </w:r>
    </w:p>
    <w:p>
      <w:pPr>
        <w:spacing w:line="440" w:lineRule="exact"/>
        <w:rPr>
          <w:rFonts w:ascii="Times New Roman" w:hAnsi="Times New Roman" w:cs="Times New Roman"/>
          <w:sz w:val="24"/>
        </w:rPr>
      </w:pPr>
      <w:r>
        <w:rPr>
          <w:rFonts w:ascii="Times New Roman" w:hAnsi="Times New Roman" w:cs="Times New Roman"/>
          <w:sz w:val="24"/>
        </w:rPr>
        <w:t>经营期限：</w:t>
      </w:r>
    </w:p>
    <w:p>
      <w:pPr>
        <w:spacing w:line="440" w:lineRule="exact"/>
        <w:rPr>
          <w:rFonts w:ascii="Times New Roman" w:hAnsi="Times New Roman" w:cs="Times New Roman"/>
          <w:sz w:val="24"/>
        </w:rPr>
      </w:pPr>
      <w:r>
        <w:rPr>
          <w:rFonts w:ascii="Times New Roman" w:hAnsi="Times New Roman" w:cs="Times New Roman"/>
          <w:sz w:val="24"/>
        </w:rPr>
        <w:t>姓名：性别：年龄：职务：</w:t>
      </w:r>
    </w:p>
    <w:p>
      <w:pPr>
        <w:spacing w:line="440" w:lineRule="exact"/>
        <w:rPr>
          <w:rFonts w:ascii="Times New Roman" w:hAnsi="Times New Roman" w:cs="Times New Roman"/>
          <w:sz w:val="24"/>
        </w:rPr>
      </w:pPr>
      <w:r>
        <w:rPr>
          <w:rFonts w:ascii="Times New Roman" w:hAnsi="Times New Roman" w:cs="Times New Roman"/>
          <w:sz w:val="24"/>
        </w:rPr>
        <w:t>系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r>
        <w:rPr>
          <w:rFonts w:ascii="Times New Roman" w:hAnsi="Times New Roman" w:cs="Times New Roman"/>
          <w:sz w:val="24"/>
        </w:rPr>
        <w:t>年月日</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45" w:name="_Toc12035_WPSOffice_Level2"/>
      <w:bookmarkStart w:id="146"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45"/>
      <w:bookmarkEnd w:id="146"/>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姓名)系(供应商名称)的法定代表人，现委托(姓名)为我方代理人。代理人根据授权，以我方名义签署、澄清、说明、补正、递交、撤回、修改(项目名称)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rPr>
        <w:t>年月日</w:t>
      </w:r>
    </w:p>
    <w:p>
      <w:pPr>
        <w:spacing w:line="440" w:lineRule="exact"/>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rPr>
        <w:t>年月日</w:t>
      </w:r>
    </w:p>
    <w:p>
      <w:pPr>
        <w:spacing w:line="440" w:lineRule="exact"/>
        <w:jc w:val="center"/>
        <w:rPr>
          <w:rFonts w:ascii="宋体" w:hAnsi="宋体" w:eastAsia="宋体" w:cs="宋体"/>
          <w:b/>
          <w:bCs/>
          <w:sz w:val="32"/>
          <w:szCs w:val="32"/>
        </w:rPr>
      </w:pPr>
    </w:p>
    <w:p>
      <w:pPr>
        <w:pStyle w:val="2"/>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47" w:name="_Toc15186_WPSOffice_Level1"/>
      <w:bookmarkStart w:id="148" w:name="_Toc24567_WPSOffice_Level1"/>
      <w:bookmarkStart w:id="149" w:name="_Toc32085_WPSOffice_Level1"/>
      <w:bookmarkStart w:id="150" w:name="_Toc24530_WPSOffice_Level1"/>
      <w:bookmarkStart w:id="151"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47"/>
      <w:bookmarkEnd w:id="148"/>
      <w:bookmarkEnd w:id="149"/>
      <w:bookmarkEnd w:id="150"/>
      <w:r>
        <w:rPr>
          <w:rFonts w:hint="eastAsia" w:ascii="Times New Roman" w:hAnsi="Times New Roman" w:eastAsia="黑体" w:cs="Times New Roman"/>
          <w:sz w:val="28"/>
          <w:szCs w:val="28"/>
        </w:rPr>
        <w:t>报价清单</w:t>
      </w:r>
      <w:bookmarkEnd w:id="151"/>
      <w:r>
        <w:rPr>
          <w:rFonts w:hint="eastAsia" w:ascii="Times New Roman" w:hAnsi="Times New Roman" w:eastAsia="黑体" w:cs="Times New Roman"/>
          <w:sz w:val="28"/>
          <w:szCs w:val="28"/>
        </w:rPr>
        <w:t>（包）</w:t>
      </w:r>
    </w:p>
    <w:p>
      <w:pPr>
        <w:rPr>
          <w:rFonts w:ascii="仿宋" w:hAnsi="仿宋" w:eastAsia="仿宋"/>
          <w:sz w:val="30"/>
          <w:szCs w:val="30"/>
        </w:rPr>
      </w:pPr>
    </w:p>
    <w:tbl>
      <w:tblPr>
        <w:tblStyle w:val="13"/>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696"/>
        <w:gridCol w:w="1080"/>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1696" w:type="dxa"/>
            <w:vAlign w:val="center"/>
          </w:tcPr>
          <w:p>
            <w:pPr>
              <w:jc w:val="center"/>
              <w:rPr>
                <w:sz w:val="30"/>
                <w:szCs w:val="30"/>
              </w:rPr>
            </w:pPr>
            <w:r>
              <w:rPr>
                <w:rFonts w:hint="eastAsia"/>
                <w:sz w:val="30"/>
                <w:szCs w:val="30"/>
              </w:rPr>
              <w:t>品牌型号</w:t>
            </w:r>
          </w:p>
        </w:tc>
        <w:tc>
          <w:tcPr>
            <w:tcW w:w="1080" w:type="dxa"/>
            <w:vAlign w:val="center"/>
          </w:tcPr>
          <w:p>
            <w:pPr>
              <w:jc w:val="center"/>
              <w:rPr>
                <w:sz w:val="30"/>
                <w:szCs w:val="30"/>
              </w:rPr>
            </w:pPr>
            <w:r>
              <w:rPr>
                <w:rFonts w:hint="eastAsia"/>
                <w:sz w:val="30"/>
                <w:szCs w:val="30"/>
              </w:rPr>
              <w:t>单位</w:t>
            </w:r>
          </w:p>
        </w:tc>
        <w:tc>
          <w:tcPr>
            <w:tcW w:w="1065" w:type="dxa"/>
            <w:vAlign w:val="center"/>
          </w:tcPr>
          <w:p>
            <w:pPr>
              <w:jc w:val="center"/>
              <w:rPr>
                <w:sz w:val="30"/>
                <w:szCs w:val="30"/>
              </w:rPr>
            </w:pPr>
            <w:r>
              <w:rPr>
                <w:rFonts w:hint="eastAsia"/>
                <w:sz w:val="30"/>
                <w:szCs w:val="30"/>
              </w:rPr>
              <w:t>数量</w:t>
            </w:r>
          </w:p>
        </w:tc>
        <w:tc>
          <w:tcPr>
            <w:tcW w:w="1140" w:type="dxa"/>
            <w:vAlign w:val="center"/>
          </w:tcPr>
          <w:p>
            <w:pPr>
              <w:jc w:val="center"/>
              <w:rPr>
                <w:sz w:val="30"/>
                <w:szCs w:val="30"/>
              </w:rPr>
            </w:pPr>
            <w:r>
              <w:rPr>
                <w:rFonts w:hint="eastAsia"/>
                <w:sz w:val="30"/>
                <w:szCs w:val="30"/>
              </w:rPr>
              <w:t>单价</w:t>
            </w:r>
          </w:p>
        </w:tc>
        <w:tc>
          <w:tcPr>
            <w:tcW w:w="2492"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1696" w:type="dxa"/>
            <w:vAlign w:val="center"/>
          </w:tcPr>
          <w:p>
            <w:pPr>
              <w:spacing w:before="100" w:beforeAutospacing="1" w:after="100" w:afterAutospacing="1" w:line="360" w:lineRule="auto"/>
              <w:jc w:val="center"/>
              <w:rPr>
                <w:sz w:val="28"/>
                <w:szCs w:val="28"/>
              </w:rPr>
            </w:pPr>
          </w:p>
        </w:tc>
        <w:tc>
          <w:tcPr>
            <w:tcW w:w="1080" w:type="dxa"/>
            <w:vAlign w:val="center"/>
          </w:tcPr>
          <w:p>
            <w:pPr>
              <w:jc w:val="center"/>
              <w:rPr>
                <w:sz w:val="30"/>
                <w:szCs w:val="30"/>
              </w:rPr>
            </w:pPr>
          </w:p>
        </w:tc>
        <w:tc>
          <w:tcPr>
            <w:tcW w:w="1065" w:type="dxa"/>
            <w:vAlign w:val="center"/>
          </w:tcPr>
          <w:p>
            <w:pPr>
              <w:jc w:val="center"/>
              <w:rPr>
                <w:sz w:val="30"/>
                <w:szCs w:val="30"/>
              </w:rPr>
            </w:pPr>
          </w:p>
        </w:tc>
        <w:tc>
          <w:tcPr>
            <w:tcW w:w="1140" w:type="dxa"/>
            <w:vAlign w:val="center"/>
          </w:tcPr>
          <w:p>
            <w:pPr>
              <w:jc w:val="center"/>
              <w:rPr>
                <w:sz w:val="30"/>
                <w:szCs w:val="30"/>
              </w:rPr>
            </w:pPr>
          </w:p>
        </w:tc>
        <w:tc>
          <w:tcPr>
            <w:tcW w:w="2492"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4981" w:type="dxa"/>
            <w:gridSpan w:val="4"/>
            <w:vAlign w:val="center"/>
          </w:tcPr>
          <w:p>
            <w:r>
              <w:rPr>
                <w:rFonts w:hint="eastAsia"/>
                <w:sz w:val="30"/>
                <w:szCs w:val="30"/>
              </w:rPr>
              <w:t>大写金额：</w:t>
            </w:r>
          </w:p>
        </w:tc>
        <w:tc>
          <w:tcPr>
            <w:tcW w:w="2492" w:type="dxa"/>
            <w:vAlign w:val="center"/>
          </w:tcPr>
          <w:p>
            <w:pPr>
              <w:rPr>
                <w:sz w:val="30"/>
                <w:szCs w:val="30"/>
              </w:rPr>
            </w:pPr>
            <w:r>
              <w:rPr>
                <w:rFonts w:hint="eastAsia"/>
                <w:sz w:val="30"/>
                <w:szCs w:val="30"/>
              </w:rPr>
              <w:t>小写：</w:t>
            </w:r>
          </w:p>
        </w:tc>
      </w:tr>
    </w:tbl>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2．除非合同另有规定，清单中综合单价和总价应包括了为实施和完成合同所需的设计费、制造费、材料费、税费、运输费、检测费、验收费、安装调试费、车辆上牌费、</w:t>
      </w:r>
      <w:r>
        <w:rPr>
          <w:rFonts w:hint="eastAsia" w:ascii="仿宋" w:hAnsi="仿宋" w:eastAsia="仿宋" w:cs="仿宋"/>
          <w:kern w:val="0"/>
          <w:sz w:val="30"/>
          <w:szCs w:val="30"/>
        </w:rPr>
        <w:t>车辆购置附加费、保险费、</w:t>
      </w:r>
      <w:r>
        <w:rPr>
          <w:rFonts w:hint="eastAsia" w:ascii="仿宋" w:hAnsi="仿宋" w:eastAsia="仿宋" w:cs="仿宋"/>
          <w:sz w:val="30"/>
          <w:szCs w:val="30"/>
        </w:rPr>
        <w:t>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jc w:val="center"/>
        <w:rPr>
          <w:rFonts w:ascii="仿宋" w:hAnsi="仿宋" w:eastAsia="仿宋"/>
          <w:sz w:val="30"/>
          <w:szCs w:val="30"/>
        </w:rPr>
      </w:pPr>
      <w:r>
        <w:rPr>
          <w:rFonts w:hint="eastAsia" w:ascii="仿宋" w:hAnsi="仿宋" w:eastAsia="仿宋"/>
          <w:sz w:val="30"/>
          <w:szCs w:val="30"/>
        </w:rPr>
        <w:t>报价人（单位签章）：</w:t>
      </w:r>
    </w:p>
    <w:p>
      <w:pPr>
        <w:jc w:val="right"/>
        <w:rPr>
          <w:rFonts w:ascii="仿宋" w:hAnsi="仿宋" w:eastAsia="仿宋"/>
          <w:sz w:val="30"/>
          <w:szCs w:val="30"/>
        </w:rPr>
      </w:pPr>
      <w:r>
        <w:rPr>
          <w:rFonts w:hint="eastAsia" w:ascii="仿宋" w:hAnsi="仿宋" w:eastAsia="仿宋"/>
          <w:sz w:val="30"/>
          <w:szCs w:val="30"/>
        </w:rPr>
        <w:t>法定代表人或其委托代理人（签名）：</w:t>
      </w:r>
    </w:p>
    <w:p>
      <w:pPr>
        <w:spacing w:line="440" w:lineRule="exact"/>
        <w:jc w:val="center"/>
        <w:rPr>
          <w:rFonts w:ascii="Times New Roman" w:hAnsi="Times New Roman" w:eastAsia="黑体" w:cs="Times New Roman"/>
          <w:sz w:val="24"/>
        </w:rPr>
      </w:pPr>
      <w:r>
        <w:rPr>
          <w:rFonts w:hint="eastAsia" w:ascii="仿宋" w:hAnsi="仿宋" w:eastAsia="仿宋"/>
          <w:sz w:val="30"/>
          <w:szCs w:val="30"/>
        </w:rPr>
        <w:t>日期：2022年月日</w:t>
      </w: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52" w:name="_Toc23545_WPSOffice_Level1"/>
      <w:bookmarkStart w:id="153" w:name="_Toc7738_WPSOffice_Level1"/>
      <w:bookmarkStart w:id="154" w:name="_Toc22815_WPSOffice_Level1"/>
      <w:bookmarkStart w:id="155" w:name="_Toc10436_WPSOffice_Level1"/>
      <w:bookmarkStart w:id="156" w:name="_Toc31445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57" w:name="_Toc2807_WPSOffice_Level2"/>
      <w:bookmarkStart w:id="158" w:name="_Toc27600_WPSOffice_Level2"/>
      <w:r>
        <w:rPr>
          <w:rFonts w:ascii="Times New Roman" w:hAnsi="Times New Roman" w:eastAsia="黑体" w:cs="Times New Roman"/>
          <w:sz w:val="28"/>
          <w:szCs w:val="28"/>
        </w:rPr>
        <w:t>供应商基本情况</w:t>
      </w:r>
      <w:bookmarkEnd w:id="152"/>
      <w:bookmarkEnd w:id="153"/>
      <w:bookmarkEnd w:id="154"/>
      <w:bookmarkEnd w:id="155"/>
      <w:bookmarkEnd w:id="156"/>
      <w:bookmarkEnd w:id="157"/>
      <w:bookmarkEnd w:id="158"/>
    </w:p>
    <w:p>
      <w:pPr>
        <w:topLinePunct/>
        <w:spacing w:line="440" w:lineRule="exact"/>
        <w:jc w:val="center"/>
        <w:rPr>
          <w:rFonts w:ascii="Times New Roman" w:hAnsi="Times New Roman" w:cs="Times New Roman"/>
          <w:sz w:val="23"/>
          <w:szCs w:val="23"/>
        </w:rPr>
      </w:pPr>
    </w:p>
    <w:tbl>
      <w:tblPr>
        <w:tblStyle w:val="13"/>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6"/>
        <w:spacing w:line="240" w:lineRule="atLeast"/>
        <w:ind w:left="560" w:leftChars="0" w:right="-512" w:rightChars="-244" w:hanging="560" w:hangingChars="200"/>
        <w:jc w:val="center"/>
        <w:rPr>
          <w:rFonts w:ascii="Times New Roman" w:hAnsi="Times New Roman" w:cs="Times New Roman"/>
          <w:sz w:val="28"/>
          <w:szCs w:val="28"/>
        </w:rPr>
      </w:pPr>
      <w:bookmarkStart w:id="159" w:name="_Toc5072_WPSOffice_Level1"/>
      <w:bookmarkStart w:id="160" w:name="_Toc18547_WPSOffice_Level1"/>
      <w:bookmarkStart w:id="161" w:name="_Toc3772_WPSOffice_Level1"/>
      <w:bookmarkStart w:id="162" w:name="_Toc19004_WPSOffice_Level1"/>
      <w:bookmarkStart w:id="163" w:name="_Toc1452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59"/>
      <w:bookmarkEnd w:id="160"/>
      <w:bookmarkEnd w:id="161"/>
      <w:bookmarkEnd w:id="162"/>
      <w:bookmarkEnd w:id="163"/>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近3年内销售车辆的合同或其他证明材料</w:t>
      </w:r>
      <w:r>
        <w:rPr>
          <w:rFonts w:hint="eastAsia" w:ascii="Times New Roman" w:hAnsi="Times New Roman" w:eastAsia="黑体" w:cs="Times New Roman"/>
          <w:szCs w:val="21"/>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2"/>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64" w:name="_Toc5403_WPSOffice_Level1"/>
      <w:bookmarkStart w:id="165" w:name="_Toc12019_WPSOffice_Level1"/>
      <w:bookmarkStart w:id="166" w:name="_Toc30712_WPSOffice_Level1"/>
      <w:bookmarkStart w:id="167" w:name="_Toc9267_WPSOffice_Level1"/>
      <w:bookmarkStart w:id="168" w:name="_Toc3893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64"/>
      <w:bookmarkEnd w:id="165"/>
      <w:bookmarkEnd w:id="166"/>
      <w:bookmarkEnd w:id="167"/>
      <w:bookmarkEnd w:id="168"/>
    </w:p>
    <w:p>
      <w:pPr>
        <w:topLinePunct/>
        <w:spacing w:line="440" w:lineRule="exact"/>
        <w:rPr>
          <w:rFonts w:ascii="Times New Roman" w:hAnsi="Times New Roman" w:cs="Times New Roman"/>
          <w:bCs/>
          <w:sz w:val="23"/>
          <w:szCs w:val="23"/>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2"/>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供应商：(盖单位章)</w:t>
      </w:r>
    </w:p>
    <w:p>
      <w:pPr>
        <w:pStyle w:val="2"/>
        <w:jc w:val="right"/>
        <w:rPr>
          <w:u w:val="single"/>
        </w:rPr>
      </w:pPr>
      <w:r>
        <w:rPr>
          <w:rFonts w:ascii="Times New Roman" w:hAnsi="Times New Roman" w:cs="Times New Roman"/>
          <w:sz w:val="24"/>
        </w:rPr>
        <w:t>年月日</w:t>
      </w:r>
    </w:p>
    <w:p>
      <w:pPr>
        <w:pStyle w:val="2"/>
      </w:pPr>
    </w:p>
    <w:p>
      <w:pPr>
        <w:pStyle w:val="2"/>
        <w:spacing w:line="440" w:lineRule="exact"/>
        <w:rPr>
          <w:rFonts w:ascii="Times New Roman" w:hAnsi="Times New Roman" w:cs="Times New Roman"/>
          <w:sz w:val="24"/>
        </w:rPr>
      </w:pPr>
    </w:p>
    <w:p>
      <w:pPr>
        <w:spacing w:line="400" w:lineRule="atLeast"/>
      </w:pPr>
    </w:p>
    <w:p>
      <w:pPr>
        <w:pStyle w:val="2"/>
      </w:pPr>
    </w:p>
    <w:p>
      <w:pPr>
        <w:pStyle w:val="2"/>
      </w:pPr>
    </w:p>
    <w:p>
      <w:pPr>
        <w:pStyle w:val="2"/>
      </w:pPr>
    </w:p>
    <w:p>
      <w:pPr>
        <w:pStyle w:val="2"/>
      </w:pPr>
    </w:p>
    <w:p>
      <w:pPr>
        <w:pStyle w:val="2"/>
      </w:pPr>
    </w:p>
    <w:p>
      <w:pPr>
        <w:pStyle w:val="2"/>
      </w:pPr>
    </w:p>
    <w:p>
      <w:pPr>
        <w:pStyle w:val="2"/>
        <w:numPr>
          <w:ilvl w:val="0"/>
          <w:numId w:val="5"/>
        </w:numPr>
        <w:jc w:val="center"/>
        <w:rPr>
          <w:rFonts w:ascii="黑体" w:hAnsi="黑体" w:eastAsia="黑体" w:cs="黑体"/>
          <w:sz w:val="28"/>
          <w:szCs w:val="28"/>
        </w:rPr>
      </w:pPr>
      <w:r>
        <w:rPr>
          <w:rFonts w:hint="eastAsia" w:ascii="黑体" w:hAnsi="黑体" w:eastAsia="黑体" w:cs="黑体"/>
          <w:sz w:val="28"/>
          <w:szCs w:val="28"/>
        </w:rPr>
        <w:t>技术性能（质量）指标描述</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spacing w:line="440" w:lineRule="exact"/>
        <w:ind w:left="1619" w:leftChars="771"/>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numPr>
          <w:ilvl w:val="0"/>
          <w:numId w:val="5"/>
        </w:numPr>
        <w:jc w:val="center"/>
        <w:rPr>
          <w:rFonts w:ascii="黑体" w:hAnsi="黑体" w:eastAsia="黑体" w:cs="黑体"/>
          <w:sz w:val="28"/>
          <w:szCs w:val="28"/>
        </w:rPr>
      </w:pPr>
      <w:r>
        <w:rPr>
          <w:rFonts w:hint="eastAsia" w:ascii="黑体" w:hAnsi="黑体" w:eastAsia="黑体" w:cs="黑体"/>
          <w:sz w:val="28"/>
          <w:szCs w:val="28"/>
        </w:rPr>
        <w:t>供货方案</w:t>
      </w:r>
    </w:p>
    <w:p>
      <w:pPr>
        <w:pStyle w:val="2"/>
        <w:numPr>
          <w:ilvl w:val="0"/>
          <w:numId w:val="5"/>
        </w:numPr>
        <w:jc w:val="center"/>
        <w:rPr>
          <w:rFonts w:ascii="黑体" w:hAnsi="黑体" w:eastAsia="黑体" w:cs="黑体"/>
          <w:sz w:val="28"/>
          <w:szCs w:val="28"/>
        </w:rPr>
      </w:pPr>
      <w:r>
        <w:rPr>
          <w:rFonts w:hint="eastAsia" w:ascii="黑体" w:hAnsi="黑体" w:eastAsia="黑体" w:cs="黑体"/>
          <w:sz w:val="28"/>
          <w:szCs w:val="28"/>
        </w:rPr>
        <w:t>其他材料</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仿宋_GB2312"/>
    <w:panose1 w:val="00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pict>
        <v:shape id="文本框 2"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8YQru0AQAASwMAAA4AAAAAAAAAAAAAAAAALgIAAGRycy9lMm9Eb2MueG1sUEsB&#10;Ai0AFAAGAAgAAAAhAAxK8O7WAAAABQEAAA8AAAAAAAAAAAAAAAAADgQAAGRycy9kb3ducmV2Lnht&#10;bFBLBQYAAAAABAAEAPMAAAARBQAAAAA=&#10;">
          <v:path/>
          <v:fill on="f" focussize="0,0"/>
          <v:stroke on="f" joinstyle="miter"/>
          <v:imagedata o:title=""/>
          <o:lock v:ext="edit"/>
          <v:textbox inset="0mm,0mm,0mm,0mm" style="mso-fit-shape-to-text:t;">
            <w:txbxContent>
              <w:p>
                <w:pPr>
                  <w:pStyle w:val="8"/>
                  <w:ind w:firstLine="360"/>
                </w:pPr>
                <w:r>
                  <w:fldChar w:fldCharType="begin"/>
                </w:r>
                <w:r>
                  <w:instrText xml:space="preserve"> PAGE  \* MERGEFORMAT </w:instrText>
                </w:r>
                <w:r>
                  <w:fldChar w:fldCharType="separate"/>
                </w:r>
                <w:r>
                  <w:t>40</w:t>
                </w:r>
                <w:r>
                  <w:fldChar w:fldCharType="end"/>
                </w:r>
              </w:p>
            </w:txbxContent>
          </v:textbox>
        </v:shape>
      </w:pic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4">
    <w:nsid w:val="4DFADC70"/>
    <w:multiLevelType w:val="singleLevel"/>
    <w:tmpl w:val="4DFADC70"/>
    <w:lvl w:ilvl="0" w:tentative="0">
      <w:start w:val="2"/>
      <w:numFmt w:val="decimal"/>
      <w:suff w:val="nothing"/>
      <w:lvlText w:val="%1、"/>
      <w:lvlJc w:val="left"/>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37626"/>
    <w:rsid w:val="00043805"/>
    <w:rsid w:val="00056650"/>
    <w:rsid w:val="00065CDA"/>
    <w:rsid w:val="000A2B98"/>
    <w:rsid w:val="000C168A"/>
    <w:rsid w:val="000E14E9"/>
    <w:rsid w:val="0010390C"/>
    <w:rsid w:val="00142D32"/>
    <w:rsid w:val="001571AF"/>
    <w:rsid w:val="00166493"/>
    <w:rsid w:val="00172A27"/>
    <w:rsid w:val="001C18CC"/>
    <w:rsid w:val="001C5613"/>
    <w:rsid w:val="001D3221"/>
    <w:rsid w:val="001D799F"/>
    <w:rsid w:val="00205242"/>
    <w:rsid w:val="00205DBD"/>
    <w:rsid w:val="00210A1D"/>
    <w:rsid w:val="00240DA4"/>
    <w:rsid w:val="00272678"/>
    <w:rsid w:val="00273E55"/>
    <w:rsid w:val="002B094E"/>
    <w:rsid w:val="002F205F"/>
    <w:rsid w:val="00300F0C"/>
    <w:rsid w:val="00346030"/>
    <w:rsid w:val="0035644A"/>
    <w:rsid w:val="003626AF"/>
    <w:rsid w:val="003A6B16"/>
    <w:rsid w:val="003B6DCF"/>
    <w:rsid w:val="003C2CD1"/>
    <w:rsid w:val="00402DF9"/>
    <w:rsid w:val="00426A52"/>
    <w:rsid w:val="00467CAE"/>
    <w:rsid w:val="004A1CBB"/>
    <w:rsid w:val="004C423B"/>
    <w:rsid w:val="00525B00"/>
    <w:rsid w:val="00533497"/>
    <w:rsid w:val="0053398C"/>
    <w:rsid w:val="00545366"/>
    <w:rsid w:val="00546E4E"/>
    <w:rsid w:val="00553633"/>
    <w:rsid w:val="005552DA"/>
    <w:rsid w:val="00561475"/>
    <w:rsid w:val="005651DC"/>
    <w:rsid w:val="00582AF7"/>
    <w:rsid w:val="0058366B"/>
    <w:rsid w:val="0059621B"/>
    <w:rsid w:val="005A118C"/>
    <w:rsid w:val="005F7E47"/>
    <w:rsid w:val="00631331"/>
    <w:rsid w:val="006377BC"/>
    <w:rsid w:val="00646B33"/>
    <w:rsid w:val="00690999"/>
    <w:rsid w:val="006A184F"/>
    <w:rsid w:val="006B0C8B"/>
    <w:rsid w:val="006D6F7B"/>
    <w:rsid w:val="006E51BB"/>
    <w:rsid w:val="006F36E9"/>
    <w:rsid w:val="0070292D"/>
    <w:rsid w:val="007216EC"/>
    <w:rsid w:val="00750D66"/>
    <w:rsid w:val="00757002"/>
    <w:rsid w:val="00782FE9"/>
    <w:rsid w:val="00825EF3"/>
    <w:rsid w:val="008267FA"/>
    <w:rsid w:val="0083784F"/>
    <w:rsid w:val="008766DD"/>
    <w:rsid w:val="008B21FA"/>
    <w:rsid w:val="008E1521"/>
    <w:rsid w:val="008E7426"/>
    <w:rsid w:val="009007E9"/>
    <w:rsid w:val="009130D0"/>
    <w:rsid w:val="00970C4D"/>
    <w:rsid w:val="009969A9"/>
    <w:rsid w:val="009D0BEC"/>
    <w:rsid w:val="009F0AA5"/>
    <w:rsid w:val="00A14222"/>
    <w:rsid w:val="00A6283B"/>
    <w:rsid w:val="00A72F34"/>
    <w:rsid w:val="00A92D02"/>
    <w:rsid w:val="00AB18B6"/>
    <w:rsid w:val="00AC7918"/>
    <w:rsid w:val="00AF1E53"/>
    <w:rsid w:val="00AF25A5"/>
    <w:rsid w:val="00AF539B"/>
    <w:rsid w:val="00B12A31"/>
    <w:rsid w:val="00B15858"/>
    <w:rsid w:val="00B93F76"/>
    <w:rsid w:val="00BA1CAE"/>
    <w:rsid w:val="00BB0DD9"/>
    <w:rsid w:val="00BE6BC3"/>
    <w:rsid w:val="00C165B0"/>
    <w:rsid w:val="00C454A0"/>
    <w:rsid w:val="00C53E83"/>
    <w:rsid w:val="00C7141E"/>
    <w:rsid w:val="00C93B65"/>
    <w:rsid w:val="00CB1442"/>
    <w:rsid w:val="00CB4EAA"/>
    <w:rsid w:val="00CD6FE9"/>
    <w:rsid w:val="00CE2050"/>
    <w:rsid w:val="00CE443D"/>
    <w:rsid w:val="00D02E59"/>
    <w:rsid w:val="00D1607D"/>
    <w:rsid w:val="00D249DD"/>
    <w:rsid w:val="00D60EAE"/>
    <w:rsid w:val="00D60F2E"/>
    <w:rsid w:val="00D934FC"/>
    <w:rsid w:val="00DA7119"/>
    <w:rsid w:val="00DB4C2B"/>
    <w:rsid w:val="00DD18EB"/>
    <w:rsid w:val="00DE6371"/>
    <w:rsid w:val="00DF2B57"/>
    <w:rsid w:val="00DF7642"/>
    <w:rsid w:val="00E30A52"/>
    <w:rsid w:val="00E42AA9"/>
    <w:rsid w:val="00E642DF"/>
    <w:rsid w:val="00E82434"/>
    <w:rsid w:val="00E90327"/>
    <w:rsid w:val="00E927FF"/>
    <w:rsid w:val="00ED718A"/>
    <w:rsid w:val="00EF16FF"/>
    <w:rsid w:val="00EF7EF1"/>
    <w:rsid w:val="00F1488D"/>
    <w:rsid w:val="00F27C0A"/>
    <w:rsid w:val="00F56741"/>
    <w:rsid w:val="00F85CDA"/>
    <w:rsid w:val="00F92726"/>
    <w:rsid w:val="00F947D4"/>
    <w:rsid w:val="00FE4671"/>
    <w:rsid w:val="00FF4C30"/>
    <w:rsid w:val="01057133"/>
    <w:rsid w:val="01227D26"/>
    <w:rsid w:val="01261938"/>
    <w:rsid w:val="01516AAC"/>
    <w:rsid w:val="015F01C5"/>
    <w:rsid w:val="016467FF"/>
    <w:rsid w:val="016B0268"/>
    <w:rsid w:val="016B560F"/>
    <w:rsid w:val="016F3AE4"/>
    <w:rsid w:val="01992D6C"/>
    <w:rsid w:val="01A05D40"/>
    <w:rsid w:val="01C47A83"/>
    <w:rsid w:val="01D26FB5"/>
    <w:rsid w:val="01D8197B"/>
    <w:rsid w:val="01F423F9"/>
    <w:rsid w:val="024946D1"/>
    <w:rsid w:val="0250686A"/>
    <w:rsid w:val="02595534"/>
    <w:rsid w:val="02763446"/>
    <w:rsid w:val="028275B1"/>
    <w:rsid w:val="02836B8D"/>
    <w:rsid w:val="02A66735"/>
    <w:rsid w:val="02B7452C"/>
    <w:rsid w:val="02C10E78"/>
    <w:rsid w:val="02D65DED"/>
    <w:rsid w:val="02E96424"/>
    <w:rsid w:val="02F44385"/>
    <w:rsid w:val="03380757"/>
    <w:rsid w:val="033E575A"/>
    <w:rsid w:val="036B6B95"/>
    <w:rsid w:val="038226D6"/>
    <w:rsid w:val="03960557"/>
    <w:rsid w:val="03B141EB"/>
    <w:rsid w:val="03C834BA"/>
    <w:rsid w:val="03D56ECF"/>
    <w:rsid w:val="03D630D0"/>
    <w:rsid w:val="03DF68F4"/>
    <w:rsid w:val="03ED0A2F"/>
    <w:rsid w:val="03F510F7"/>
    <w:rsid w:val="040F0B7F"/>
    <w:rsid w:val="04211E08"/>
    <w:rsid w:val="04457667"/>
    <w:rsid w:val="045A4B7B"/>
    <w:rsid w:val="04642508"/>
    <w:rsid w:val="04685518"/>
    <w:rsid w:val="047A7331"/>
    <w:rsid w:val="048819D9"/>
    <w:rsid w:val="04A248E7"/>
    <w:rsid w:val="04AB6E27"/>
    <w:rsid w:val="04AF2899"/>
    <w:rsid w:val="04B213C1"/>
    <w:rsid w:val="04B67108"/>
    <w:rsid w:val="04CB3E4D"/>
    <w:rsid w:val="04EC0DEF"/>
    <w:rsid w:val="050C173D"/>
    <w:rsid w:val="052B12A4"/>
    <w:rsid w:val="0535067A"/>
    <w:rsid w:val="05435747"/>
    <w:rsid w:val="054A377A"/>
    <w:rsid w:val="0571047E"/>
    <w:rsid w:val="05770B44"/>
    <w:rsid w:val="057D77E1"/>
    <w:rsid w:val="05860158"/>
    <w:rsid w:val="05AE7642"/>
    <w:rsid w:val="05BC7068"/>
    <w:rsid w:val="05CB4EDA"/>
    <w:rsid w:val="05DC1624"/>
    <w:rsid w:val="0616234B"/>
    <w:rsid w:val="061C6516"/>
    <w:rsid w:val="06206644"/>
    <w:rsid w:val="06233674"/>
    <w:rsid w:val="06356AB4"/>
    <w:rsid w:val="0637658C"/>
    <w:rsid w:val="06420BE5"/>
    <w:rsid w:val="064F44F5"/>
    <w:rsid w:val="06750697"/>
    <w:rsid w:val="069B3C00"/>
    <w:rsid w:val="06CA1760"/>
    <w:rsid w:val="06ED25DE"/>
    <w:rsid w:val="06F57E5E"/>
    <w:rsid w:val="07085527"/>
    <w:rsid w:val="073A3426"/>
    <w:rsid w:val="0757367C"/>
    <w:rsid w:val="07595CAC"/>
    <w:rsid w:val="076F25A8"/>
    <w:rsid w:val="077508BA"/>
    <w:rsid w:val="079543F1"/>
    <w:rsid w:val="07A10C59"/>
    <w:rsid w:val="07A45C35"/>
    <w:rsid w:val="07C30E6D"/>
    <w:rsid w:val="07C61AEA"/>
    <w:rsid w:val="07E23ADF"/>
    <w:rsid w:val="07F53477"/>
    <w:rsid w:val="08315767"/>
    <w:rsid w:val="08347001"/>
    <w:rsid w:val="08376EC4"/>
    <w:rsid w:val="083C2C8C"/>
    <w:rsid w:val="083C51DC"/>
    <w:rsid w:val="083F45B1"/>
    <w:rsid w:val="08441E55"/>
    <w:rsid w:val="086D4ACA"/>
    <w:rsid w:val="087E3A40"/>
    <w:rsid w:val="08A5652C"/>
    <w:rsid w:val="08AC6280"/>
    <w:rsid w:val="08D840D9"/>
    <w:rsid w:val="090B1608"/>
    <w:rsid w:val="09120680"/>
    <w:rsid w:val="09193D26"/>
    <w:rsid w:val="092C10F3"/>
    <w:rsid w:val="092D5CEC"/>
    <w:rsid w:val="09306E7A"/>
    <w:rsid w:val="094F782B"/>
    <w:rsid w:val="095073FA"/>
    <w:rsid w:val="0973495D"/>
    <w:rsid w:val="099B5D1F"/>
    <w:rsid w:val="099C614A"/>
    <w:rsid w:val="09A07033"/>
    <w:rsid w:val="09A35E85"/>
    <w:rsid w:val="09A7522A"/>
    <w:rsid w:val="09B36429"/>
    <w:rsid w:val="09B83A16"/>
    <w:rsid w:val="0A132DA4"/>
    <w:rsid w:val="0A3641B0"/>
    <w:rsid w:val="0A3769B7"/>
    <w:rsid w:val="0A4977DA"/>
    <w:rsid w:val="0A605CF3"/>
    <w:rsid w:val="0A6564B9"/>
    <w:rsid w:val="0AA52BD3"/>
    <w:rsid w:val="0AAC4813"/>
    <w:rsid w:val="0AB417AF"/>
    <w:rsid w:val="0ACB14D5"/>
    <w:rsid w:val="0B0109E6"/>
    <w:rsid w:val="0B0364E1"/>
    <w:rsid w:val="0B575C8E"/>
    <w:rsid w:val="0B5C5BE2"/>
    <w:rsid w:val="0B607438"/>
    <w:rsid w:val="0B8C0B40"/>
    <w:rsid w:val="0B940000"/>
    <w:rsid w:val="0B9E7AAB"/>
    <w:rsid w:val="0BBD53FC"/>
    <w:rsid w:val="0BD95321"/>
    <w:rsid w:val="0BE53DBD"/>
    <w:rsid w:val="0BED7182"/>
    <w:rsid w:val="0BEE3A7F"/>
    <w:rsid w:val="0C1F3F50"/>
    <w:rsid w:val="0C210E8A"/>
    <w:rsid w:val="0C2D25CC"/>
    <w:rsid w:val="0C3A6DCE"/>
    <w:rsid w:val="0C444484"/>
    <w:rsid w:val="0C471C14"/>
    <w:rsid w:val="0C4757BF"/>
    <w:rsid w:val="0C5344EB"/>
    <w:rsid w:val="0C5B011A"/>
    <w:rsid w:val="0C854A24"/>
    <w:rsid w:val="0C871385"/>
    <w:rsid w:val="0C932008"/>
    <w:rsid w:val="0C954935"/>
    <w:rsid w:val="0C9E6EE9"/>
    <w:rsid w:val="0CEE2538"/>
    <w:rsid w:val="0CFF356B"/>
    <w:rsid w:val="0D1C692C"/>
    <w:rsid w:val="0D1F7FB3"/>
    <w:rsid w:val="0D235F12"/>
    <w:rsid w:val="0D371527"/>
    <w:rsid w:val="0D421699"/>
    <w:rsid w:val="0D491784"/>
    <w:rsid w:val="0D903958"/>
    <w:rsid w:val="0DBC5FD9"/>
    <w:rsid w:val="0DBF7526"/>
    <w:rsid w:val="0DD8176C"/>
    <w:rsid w:val="0DE17D3B"/>
    <w:rsid w:val="0DE55C13"/>
    <w:rsid w:val="0DEA2CBC"/>
    <w:rsid w:val="0DFF4F4B"/>
    <w:rsid w:val="0E353D12"/>
    <w:rsid w:val="0E3766AA"/>
    <w:rsid w:val="0E3C6E1E"/>
    <w:rsid w:val="0E421045"/>
    <w:rsid w:val="0E5617C7"/>
    <w:rsid w:val="0E5B2709"/>
    <w:rsid w:val="0E617FB2"/>
    <w:rsid w:val="0EC101C2"/>
    <w:rsid w:val="0EC70BFA"/>
    <w:rsid w:val="0ED43311"/>
    <w:rsid w:val="0EF511C8"/>
    <w:rsid w:val="0EF55437"/>
    <w:rsid w:val="0F084473"/>
    <w:rsid w:val="0F3638ED"/>
    <w:rsid w:val="0F56600C"/>
    <w:rsid w:val="0F723405"/>
    <w:rsid w:val="0FCC7A5D"/>
    <w:rsid w:val="0FDB62B2"/>
    <w:rsid w:val="0FE0087A"/>
    <w:rsid w:val="100A243A"/>
    <w:rsid w:val="1015385D"/>
    <w:rsid w:val="10406357"/>
    <w:rsid w:val="1055158F"/>
    <w:rsid w:val="107348E1"/>
    <w:rsid w:val="107B36EC"/>
    <w:rsid w:val="107D3033"/>
    <w:rsid w:val="10C02202"/>
    <w:rsid w:val="10C56148"/>
    <w:rsid w:val="10EE14A7"/>
    <w:rsid w:val="10F71714"/>
    <w:rsid w:val="11076A24"/>
    <w:rsid w:val="110B15DD"/>
    <w:rsid w:val="112B09BB"/>
    <w:rsid w:val="115C0B2F"/>
    <w:rsid w:val="119244F6"/>
    <w:rsid w:val="119B7A2E"/>
    <w:rsid w:val="119D73DC"/>
    <w:rsid w:val="11A73A14"/>
    <w:rsid w:val="11B93700"/>
    <w:rsid w:val="11CD0AF7"/>
    <w:rsid w:val="11F4632B"/>
    <w:rsid w:val="12137AF9"/>
    <w:rsid w:val="121B6810"/>
    <w:rsid w:val="12243423"/>
    <w:rsid w:val="12367A81"/>
    <w:rsid w:val="12371F81"/>
    <w:rsid w:val="1237641B"/>
    <w:rsid w:val="12411CF0"/>
    <w:rsid w:val="124D1B8B"/>
    <w:rsid w:val="12584AF5"/>
    <w:rsid w:val="126469F3"/>
    <w:rsid w:val="12752E29"/>
    <w:rsid w:val="127D5F3F"/>
    <w:rsid w:val="12845883"/>
    <w:rsid w:val="12857018"/>
    <w:rsid w:val="129B7928"/>
    <w:rsid w:val="12C8183D"/>
    <w:rsid w:val="12D73FF1"/>
    <w:rsid w:val="12DC49E1"/>
    <w:rsid w:val="12DE1788"/>
    <w:rsid w:val="12E15AAD"/>
    <w:rsid w:val="12EF29CB"/>
    <w:rsid w:val="1301017A"/>
    <w:rsid w:val="131D7C46"/>
    <w:rsid w:val="137511FB"/>
    <w:rsid w:val="139157D5"/>
    <w:rsid w:val="13A613F8"/>
    <w:rsid w:val="13A61F8A"/>
    <w:rsid w:val="13EB2E20"/>
    <w:rsid w:val="13EE17CA"/>
    <w:rsid w:val="13F71AAC"/>
    <w:rsid w:val="13F727DE"/>
    <w:rsid w:val="140531B2"/>
    <w:rsid w:val="141603C9"/>
    <w:rsid w:val="143E047A"/>
    <w:rsid w:val="146A70C1"/>
    <w:rsid w:val="14980C4A"/>
    <w:rsid w:val="14980E16"/>
    <w:rsid w:val="1498179F"/>
    <w:rsid w:val="14BA42FD"/>
    <w:rsid w:val="14C50C9C"/>
    <w:rsid w:val="14DC7DC8"/>
    <w:rsid w:val="14E01A95"/>
    <w:rsid w:val="150A1554"/>
    <w:rsid w:val="153122C9"/>
    <w:rsid w:val="154F540A"/>
    <w:rsid w:val="155319D5"/>
    <w:rsid w:val="156752D2"/>
    <w:rsid w:val="157D0B57"/>
    <w:rsid w:val="158335ED"/>
    <w:rsid w:val="15833F89"/>
    <w:rsid w:val="1589623D"/>
    <w:rsid w:val="15C36A4E"/>
    <w:rsid w:val="15E451EB"/>
    <w:rsid w:val="15E47854"/>
    <w:rsid w:val="15EB36FD"/>
    <w:rsid w:val="15F55102"/>
    <w:rsid w:val="15F906E0"/>
    <w:rsid w:val="16057AB2"/>
    <w:rsid w:val="162149AE"/>
    <w:rsid w:val="162C6C5D"/>
    <w:rsid w:val="16542610"/>
    <w:rsid w:val="16576E90"/>
    <w:rsid w:val="16664275"/>
    <w:rsid w:val="16B0772A"/>
    <w:rsid w:val="16BD38FF"/>
    <w:rsid w:val="16D65EF5"/>
    <w:rsid w:val="16F516A4"/>
    <w:rsid w:val="17067E9D"/>
    <w:rsid w:val="17250EDB"/>
    <w:rsid w:val="173B67EB"/>
    <w:rsid w:val="17514A69"/>
    <w:rsid w:val="17555AF7"/>
    <w:rsid w:val="17606543"/>
    <w:rsid w:val="1771268E"/>
    <w:rsid w:val="177747C5"/>
    <w:rsid w:val="17795CB2"/>
    <w:rsid w:val="1781794F"/>
    <w:rsid w:val="17B1375A"/>
    <w:rsid w:val="17CE7E68"/>
    <w:rsid w:val="17F9165D"/>
    <w:rsid w:val="17FD5CFB"/>
    <w:rsid w:val="181C5AFE"/>
    <w:rsid w:val="18262728"/>
    <w:rsid w:val="18276115"/>
    <w:rsid w:val="18555ABF"/>
    <w:rsid w:val="185F31B6"/>
    <w:rsid w:val="189B41AF"/>
    <w:rsid w:val="18F85CC5"/>
    <w:rsid w:val="1943613C"/>
    <w:rsid w:val="19862431"/>
    <w:rsid w:val="19902CF2"/>
    <w:rsid w:val="199735D9"/>
    <w:rsid w:val="199C3B12"/>
    <w:rsid w:val="199F4D38"/>
    <w:rsid w:val="19B34DB1"/>
    <w:rsid w:val="19C22F6A"/>
    <w:rsid w:val="19C35EB6"/>
    <w:rsid w:val="19C5115C"/>
    <w:rsid w:val="19C9294C"/>
    <w:rsid w:val="19CC7A79"/>
    <w:rsid w:val="19CE0406"/>
    <w:rsid w:val="19D150E1"/>
    <w:rsid w:val="19DD457B"/>
    <w:rsid w:val="19FD2538"/>
    <w:rsid w:val="1A17222A"/>
    <w:rsid w:val="1A412867"/>
    <w:rsid w:val="1AC27301"/>
    <w:rsid w:val="1AC3476E"/>
    <w:rsid w:val="1AE05001"/>
    <w:rsid w:val="1AE9320B"/>
    <w:rsid w:val="1B0525A1"/>
    <w:rsid w:val="1B2136A5"/>
    <w:rsid w:val="1B3C333B"/>
    <w:rsid w:val="1B3D7B6B"/>
    <w:rsid w:val="1B7270A9"/>
    <w:rsid w:val="1B742B49"/>
    <w:rsid w:val="1B7A2038"/>
    <w:rsid w:val="1B7D4D66"/>
    <w:rsid w:val="1B830B8C"/>
    <w:rsid w:val="1B8B6665"/>
    <w:rsid w:val="1B8D1DE8"/>
    <w:rsid w:val="1BC458EB"/>
    <w:rsid w:val="1BC51582"/>
    <w:rsid w:val="1BCA6B98"/>
    <w:rsid w:val="1BDB4E23"/>
    <w:rsid w:val="1BEA478F"/>
    <w:rsid w:val="1BFF07B9"/>
    <w:rsid w:val="1C1447AF"/>
    <w:rsid w:val="1C3542B7"/>
    <w:rsid w:val="1C4E3A72"/>
    <w:rsid w:val="1C591E3C"/>
    <w:rsid w:val="1C5A6DF2"/>
    <w:rsid w:val="1C8702AB"/>
    <w:rsid w:val="1CAD29F5"/>
    <w:rsid w:val="1CD04682"/>
    <w:rsid w:val="1CDE2D4A"/>
    <w:rsid w:val="1CDF3C59"/>
    <w:rsid w:val="1CE41B29"/>
    <w:rsid w:val="1CF6219E"/>
    <w:rsid w:val="1D011989"/>
    <w:rsid w:val="1D1C4C9A"/>
    <w:rsid w:val="1D2C0C7A"/>
    <w:rsid w:val="1D4318D2"/>
    <w:rsid w:val="1D435A83"/>
    <w:rsid w:val="1D502683"/>
    <w:rsid w:val="1D547061"/>
    <w:rsid w:val="1D582C93"/>
    <w:rsid w:val="1D6A0A81"/>
    <w:rsid w:val="1D8F37AE"/>
    <w:rsid w:val="1DA538B1"/>
    <w:rsid w:val="1DCA0187"/>
    <w:rsid w:val="1DEE3EE6"/>
    <w:rsid w:val="1DEF15E5"/>
    <w:rsid w:val="1DFB3480"/>
    <w:rsid w:val="1E076BA3"/>
    <w:rsid w:val="1E085723"/>
    <w:rsid w:val="1E2E506B"/>
    <w:rsid w:val="1E373F50"/>
    <w:rsid w:val="1E3B3E71"/>
    <w:rsid w:val="1E547E7A"/>
    <w:rsid w:val="1E844E18"/>
    <w:rsid w:val="1EB01493"/>
    <w:rsid w:val="1EB45B84"/>
    <w:rsid w:val="1ED566BF"/>
    <w:rsid w:val="1EE97FFB"/>
    <w:rsid w:val="1F0079C8"/>
    <w:rsid w:val="1F021002"/>
    <w:rsid w:val="1F1D4BD7"/>
    <w:rsid w:val="1F1F765A"/>
    <w:rsid w:val="1F236DF7"/>
    <w:rsid w:val="1F382298"/>
    <w:rsid w:val="1F6B6469"/>
    <w:rsid w:val="1F837870"/>
    <w:rsid w:val="1F84184E"/>
    <w:rsid w:val="1F8841C9"/>
    <w:rsid w:val="1F942DC6"/>
    <w:rsid w:val="1F9F5217"/>
    <w:rsid w:val="1F9F7B9A"/>
    <w:rsid w:val="1FC653B9"/>
    <w:rsid w:val="1FC830F6"/>
    <w:rsid w:val="1FFD5491"/>
    <w:rsid w:val="1FFF49B3"/>
    <w:rsid w:val="20085EE1"/>
    <w:rsid w:val="200A49DA"/>
    <w:rsid w:val="2010615E"/>
    <w:rsid w:val="202E73DC"/>
    <w:rsid w:val="20350D4E"/>
    <w:rsid w:val="205B3A40"/>
    <w:rsid w:val="207C19DD"/>
    <w:rsid w:val="209A4709"/>
    <w:rsid w:val="20A32AD4"/>
    <w:rsid w:val="20A83190"/>
    <w:rsid w:val="20BB0B4F"/>
    <w:rsid w:val="20C14537"/>
    <w:rsid w:val="20C23964"/>
    <w:rsid w:val="20D03B7B"/>
    <w:rsid w:val="20DE2F63"/>
    <w:rsid w:val="20ED699B"/>
    <w:rsid w:val="211B2CD8"/>
    <w:rsid w:val="21225095"/>
    <w:rsid w:val="212B27B8"/>
    <w:rsid w:val="21303DB9"/>
    <w:rsid w:val="217F414A"/>
    <w:rsid w:val="21957A4E"/>
    <w:rsid w:val="21B209FB"/>
    <w:rsid w:val="21C307B3"/>
    <w:rsid w:val="21CE3C80"/>
    <w:rsid w:val="21D11C50"/>
    <w:rsid w:val="21E27CC2"/>
    <w:rsid w:val="21E82062"/>
    <w:rsid w:val="21FC1CC5"/>
    <w:rsid w:val="220F22ED"/>
    <w:rsid w:val="22290B71"/>
    <w:rsid w:val="223920C8"/>
    <w:rsid w:val="2257773E"/>
    <w:rsid w:val="228C37EE"/>
    <w:rsid w:val="228C6100"/>
    <w:rsid w:val="22A30ED5"/>
    <w:rsid w:val="22A75A54"/>
    <w:rsid w:val="22C75FB3"/>
    <w:rsid w:val="22E43FB7"/>
    <w:rsid w:val="231432F6"/>
    <w:rsid w:val="23202A87"/>
    <w:rsid w:val="23211294"/>
    <w:rsid w:val="23291D55"/>
    <w:rsid w:val="23316C48"/>
    <w:rsid w:val="23331629"/>
    <w:rsid w:val="23533555"/>
    <w:rsid w:val="235C166E"/>
    <w:rsid w:val="2375570F"/>
    <w:rsid w:val="23870C5D"/>
    <w:rsid w:val="23B23A20"/>
    <w:rsid w:val="23B5629D"/>
    <w:rsid w:val="23F25D22"/>
    <w:rsid w:val="24013265"/>
    <w:rsid w:val="24202C55"/>
    <w:rsid w:val="244554CD"/>
    <w:rsid w:val="244637AD"/>
    <w:rsid w:val="244D04EE"/>
    <w:rsid w:val="249A29C0"/>
    <w:rsid w:val="24A26904"/>
    <w:rsid w:val="24C01E6D"/>
    <w:rsid w:val="24C22F3D"/>
    <w:rsid w:val="24C74E0F"/>
    <w:rsid w:val="24CC38EA"/>
    <w:rsid w:val="24D665AE"/>
    <w:rsid w:val="24EA1E5C"/>
    <w:rsid w:val="24F713BB"/>
    <w:rsid w:val="2507530A"/>
    <w:rsid w:val="25080E67"/>
    <w:rsid w:val="252C2973"/>
    <w:rsid w:val="25374EF4"/>
    <w:rsid w:val="257D4C7B"/>
    <w:rsid w:val="25AD37B3"/>
    <w:rsid w:val="25CD46BA"/>
    <w:rsid w:val="25D12068"/>
    <w:rsid w:val="25D376ED"/>
    <w:rsid w:val="25F72C80"/>
    <w:rsid w:val="261E2FED"/>
    <w:rsid w:val="262D3499"/>
    <w:rsid w:val="2631307A"/>
    <w:rsid w:val="264F0DC8"/>
    <w:rsid w:val="26505959"/>
    <w:rsid w:val="26757836"/>
    <w:rsid w:val="267942C6"/>
    <w:rsid w:val="268169ED"/>
    <w:rsid w:val="26936A6A"/>
    <w:rsid w:val="26AC54AE"/>
    <w:rsid w:val="26AE35E3"/>
    <w:rsid w:val="26CA2142"/>
    <w:rsid w:val="26CC5821"/>
    <w:rsid w:val="26D9686E"/>
    <w:rsid w:val="26E16978"/>
    <w:rsid w:val="26EA132C"/>
    <w:rsid w:val="270A6B81"/>
    <w:rsid w:val="27224050"/>
    <w:rsid w:val="27335F39"/>
    <w:rsid w:val="27573233"/>
    <w:rsid w:val="276F5392"/>
    <w:rsid w:val="276F78A4"/>
    <w:rsid w:val="277F5371"/>
    <w:rsid w:val="27897256"/>
    <w:rsid w:val="279E6A72"/>
    <w:rsid w:val="27A22B9A"/>
    <w:rsid w:val="27BA7541"/>
    <w:rsid w:val="27E17707"/>
    <w:rsid w:val="2832016E"/>
    <w:rsid w:val="28332E82"/>
    <w:rsid w:val="28945AD5"/>
    <w:rsid w:val="28A17421"/>
    <w:rsid w:val="28CB2405"/>
    <w:rsid w:val="28CC65CA"/>
    <w:rsid w:val="28E4564A"/>
    <w:rsid w:val="28FD4C25"/>
    <w:rsid w:val="29121767"/>
    <w:rsid w:val="293529A7"/>
    <w:rsid w:val="294549B1"/>
    <w:rsid w:val="298E4667"/>
    <w:rsid w:val="299921F9"/>
    <w:rsid w:val="299E263B"/>
    <w:rsid w:val="29AC15DA"/>
    <w:rsid w:val="29C849C9"/>
    <w:rsid w:val="29E638F8"/>
    <w:rsid w:val="2A1D6B49"/>
    <w:rsid w:val="2A571212"/>
    <w:rsid w:val="2A6C2506"/>
    <w:rsid w:val="2A76695F"/>
    <w:rsid w:val="2A7F4FF2"/>
    <w:rsid w:val="2A9758C1"/>
    <w:rsid w:val="2AA2330A"/>
    <w:rsid w:val="2AA86D0F"/>
    <w:rsid w:val="2AB036B9"/>
    <w:rsid w:val="2AB50200"/>
    <w:rsid w:val="2AC0255C"/>
    <w:rsid w:val="2ACA3C75"/>
    <w:rsid w:val="2ACD4339"/>
    <w:rsid w:val="2AE71769"/>
    <w:rsid w:val="2B0A558D"/>
    <w:rsid w:val="2B104C4C"/>
    <w:rsid w:val="2B1C6134"/>
    <w:rsid w:val="2B274F49"/>
    <w:rsid w:val="2B547EAB"/>
    <w:rsid w:val="2B752198"/>
    <w:rsid w:val="2BB570B9"/>
    <w:rsid w:val="2BDF25BB"/>
    <w:rsid w:val="2BED184D"/>
    <w:rsid w:val="2BF97573"/>
    <w:rsid w:val="2C282379"/>
    <w:rsid w:val="2C436A23"/>
    <w:rsid w:val="2C706680"/>
    <w:rsid w:val="2C74409C"/>
    <w:rsid w:val="2C78559C"/>
    <w:rsid w:val="2C845E56"/>
    <w:rsid w:val="2C9E62E8"/>
    <w:rsid w:val="2CB12F5F"/>
    <w:rsid w:val="2CC914F3"/>
    <w:rsid w:val="2CCB157B"/>
    <w:rsid w:val="2CCD7379"/>
    <w:rsid w:val="2CD91BE3"/>
    <w:rsid w:val="2CD93E72"/>
    <w:rsid w:val="2CF174D1"/>
    <w:rsid w:val="2CF855B9"/>
    <w:rsid w:val="2D044DD1"/>
    <w:rsid w:val="2D1C78E5"/>
    <w:rsid w:val="2D4633AE"/>
    <w:rsid w:val="2D5E7110"/>
    <w:rsid w:val="2D6B78B2"/>
    <w:rsid w:val="2D702015"/>
    <w:rsid w:val="2D7D7F0E"/>
    <w:rsid w:val="2D825525"/>
    <w:rsid w:val="2D853AD8"/>
    <w:rsid w:val="2D8B655F"/>
    <w:rsid w:val="2DA3066A"/>
    <w:rsid w:val="2DA41677"/>
    <w:rsid w:val="2DD45795"/>
    <w:rsid w:val="2DD67FDC"/>
    <w:rsid w:val="2DE17D8A"/>
    <w:rsid w:val="2E452391"/>
    <w:rsid w:val="2E4A067E"/>
    <w:rsid w:val="2E5113E2"/>
    <w:rsid w:val="2E606FE3"/>
    <w:rsid w:val="2E704C0F"/>
    <w:rsid w:val="2E720D19"/>
    <w:rsid w:val="2E821BE2"/>
    <w:rsid w:val="2E9F5461"/>
    <w:rsid w:val="2EA91D25"/>
    <w:rsid w:val="2EBF17FD"/>
    <w:rsid w:val="2EBF392D"/>
    <w:rsid w:val="2EC30534"/>
    <w:rsid w:val="2EC92087"/>
    <w:rsid w:val="2EDC19B7"/>
    <w:rsid w:val="2EED00C8"/>
    <w:rsid w:val="2EF11D09"/>
    <w:rsid w:val="2F1C5807"/>
    <w:rsid w:val="2F21432D"/>
    <w:rsid w:val="2F266163"/>
    <w:rsid w:val="2F2E5C2B"/>
    <w:rsid w:val="2F590537"/>
    <w:rsid w:val="2F7E56E8"/>
    <w:rsid w:val="2F8D4F86"/>
    <w:rsid w:val="2FB62E8D"/>
    <w:rsid w:val="30045BF1"/>
    <w:rsid w:val="300C6F30"/>
    <w:rsid w:val="302F697C"/>
    <w:rsid w:val="303B074A"/>
    <w:rsid w:val="303D10B7"/>
    <w:rsid w:val="30620D79"/>
    <w:rsid w:val="307716A4"/>
    <w:rsid w:val="30791531"/>
    <w:rsid w:val="309D35EF"/>
    <w:rsid w:val="30B66302"/>
    <w:rsid w:val="30B751B3"/>
    <w:rsid w:val="30E35EBD"/>
    <w:rsid w:val="30EF615D"/>
    <w:rsid w:val="30FD3114"/>
    <w:rsid w:val="30FD66FE"/>
    <w:rsid w:val="31254E86"/>
    <w:rsid w:val="31393383"/>
    <w:rsid w:val="31995AF6"/>
    <w:rsid w:val="31B10180"/>
    <w:rsid w:val="31B168FB"/>
    <w:rsid w:val="31C110EE"/>
    <w:rsid w:val="31CB160E"/>
    <w:rsid w:val="31D81033"/>
    <w:rsid w:val="31DC0B3C"/>
    <w:rsid w:val="31DC7938"/>
    <w:rsid w:val="31F42769"/>
    <w:rsid w:val="32006559"/>
    <w:rsid w:val="32232959"/>
    <w:rsid w:val="323374C7"/>
    <w:rsid w:val="323B5665"/>
    <w:rsid w:val="323D1E9E"/>
    <w:rsid w:val="32472149"/>
    <w:rsid w:val="32722A86"/>
    <w:rsid w:val="32A15D40"/>
    <w:rsid w:val="32C23720"/>
    <w:rsid w:val="32D33D11"/>
    <w:rsid w:val="32E2300A"/>
    <w:rsid w:val="33035B90"/>
    <w:rsid w:val="33100AE4"/>
    <w:rsid w:val="333052D8"/>
    <w:rsid w:val="3356659E"/>
    <w:rsid w:val="3388358D"/>
    <w:rsid w:val="33A67436"/>
    <w:rsid w:val="33C573CB"/>
    <w:rsid w:val="33DF6EC3"/>
    <w:rsid w:val="33EA6B5F"/>
    <w:rsid w:val="33FF7757"/>
    <w:rsid w:val="3402767A"/>
    <w:rsid w:val="343069EA"/>
    <w:rsid w:val="343C44D4"/>
    <w:rsid w:val="3445237C"/>
    <w:rsid w:val="34487B5D"/>
    <w:rsid w:val="345D7407"/>
    <w:rsid w:val="346C40F4"/>
    <w:rsid w:val="347A4B5A"/>
    <w:rsid w:val="34820779"/>
    <w:rsid w:val="34826A34"/>
    <w:rsid w:val="34C13954"/>
    <w:rsid w:val="34CD11F9"/>
    <w:rsid w:val="34DF0FFB"/>
    <w:rsid w:val="34FD6977"/>
    <w:rsid w:val="35091493"/>
    <w:rsid w:val="35131187"/>
    <w:rsid w:val="351849C1"/>
    <w:rsid w:val="35664635"/>
    <w:rsid w:val="35764CC9"/>
    <w:rsid w:val="357F680D"/>
    <w:rsid w:val="35903ACA"/>
    <w:rsid w:val="35A9536A"/>
    <w:rsid w:val="35AC6226"/>
    <w:rsid w:val="35BF7FD5"/>
    <w:rsid w:val="35C87EEC"/>
    <w:rsid w:val="362B46A7"/>
    <w:rsid w:val="363E3FB3"/>
    <w:rsid w:val="364A6DFC"/>
    <w:rsid w:val="36533F02"/>
    <w:rsid w:val="368558B3"/>
    <w:rsid w:val="36876E6A"/>
    <w:rsid w:val="36980DD0"/>
    <w:rsid w:val="36C0156D"/>
    <w:rsid w:val="36CF4BC1"/>
    <w:rsid w:val="36D06F22"/>
    <w:rsid w:val="370C460C"/>
    <w:rsid w:val="37117618"/>
    <w:rsid w:val="371B6C62"/>
    <w:rsid w:val="373B0A3F"/>
    <w:rsid w:val="375F0F03"/>
    <w:rsid w:val="37702AE4"/>
    <w:rsid w:val="377A75FB"/>
    <w:rsid w:val="379940D4"/>
    <w:rsid w:val="37E57834"/>
    <w:rsid w:val="38120363"/>
    <w:rsid w:val="382A0CE5"/>
    <w:rsid w:val="383261D0"/>
    <w:rsid w:val="384606FC"/>
    <w:rsid w:val="385703DF"/>
    <w:rsid w:val="385D1023"/>
    <w:rsid w:val="385F5346"/>
    <w:rsid w:val="38646884"/>
    <w:rsid w:val="3883414D"/>
    <w:rsid w:val="38886D3E"/>
    <w:rsid w:val="38910860"/>
    <w:rsid w:val="38973052"/>
    <w:rsid w:val="38AA6CBA"/>
    <w:rsid w:val="38BA0741"/>
    <w:rsid w:val="38C64F92"/>
    <w:rsid w:val="38E005FB"/>
    <w:rsid w:val="38F809A3"/>
    <w:rsid w:val="3913122F"/>
    <w:rsid w:val="39151E6D"/>
    <w:rsid w:val="39266477"/>
    <w:rsid w:val="392E59B6"/>
    <w:rsid w:val="39497A4F"/>
    <w:rsid w:val="3952271F"/>
    <w:rsid w:val="39655B7A"/>
    <w:rsid w:val="396D35AB"/>
    <w:rsid w:val="39786167"/>
    <w:rsid w:val="397D063A"/>
    <w:rsid w:val="398F73DC"/>
    <w:rsid w:val="399C65C7"/>
    <w:rsid w:val="39C01BBA"/>
    <w:rsid w:val="39C731AB"/>
    <w:rsid w:val="39FE2850"/>
    <w:rsid w:val="3A085BAA"/>
    <w:rsid w:val="3A185D33"/>
    <w:rsid w:val="3A2C2104"/>
    <w:rsid w:val="3A967177"/>
    <w:rsid w:val="3A9D43B8"/>
    <w:rsid w:val="3AB3450A"/>
    <w:rsid w:val="3AB73885"/>
    <w:rsid w:val="3AD155B7"/>
    <w:rsid w:val="3AD41A3C"/>
    <w:rsid w:val="3AF07408"/>
    <w:rsid w:val="3AFA4DDD"/>
    <w:rsid w:val="3B2D1CE0"/>
    <w:rsid w:val="3B2E1991"/>
    <w:rsid w:val="3B41700C"/>
    <w:rsid w:val="3B4336D5"/>
    <w:rsid w:val="3B862458"/>
    <w:rsid w:val="3B8F4DF4"/>
    <w:rsid w:val="3B915C89"/>
    <w:rsid w:val="3BBE774B"/>
    <w:rsid w:val="3BCA36FC"/>
    <w:rsid w:val="3BD60C4D"/>
    <w:rsid w:val="3BDB75C3"/>
    <w:rsid w:val="3BFB140F"/>
    <w:rsid w:val="3C6B2863"/>
    <w:rsid w:val="3C7E046A"/>
    <w:rsid w:val="3CA2060D"/>
    <w:rsid w:val="3CC669C0"/>
    <w:rsid w:val="3CC742EA"/>
    <w:rsid w:val="3CCC78C1"/>
    <w:rsid w:val="3D191420"/>
    <w:rsid w:val="3D4729E2"/>
    <w:rsid w:val="3D870377"/>
    <w:rsid w:val="3DB644C5"/>
    <w:rsid w:val="3DBA3955"/>
    <w:rsid w:val="3DC64303"/>
    <w:rsid w:val="3DFD18E3"/>
    <w:rsid w:val="3E234CC4"/>
    <w:rsid w:val="3E321A01"/>
    <w:rsid w:val="3E3454D4"/>
    <w:rsid w:val="3E430296"/>
    <w:rsid w:val="3E4E3D1C"/>
    <w:rsid w:val="3E553473"/>
    <w:rsid w:val="3E56477C"/>
    <w:rsid w:val="3E755BE7"/>
    <w:rsid w:val="3E775349"/>
    <w:rsid w:val="3E7E2662"/>
    <w:rsid w:val="3E9D5BD9"/>
    <w:rsid w:val="3E9F013E"/>
    <w:rsid w:val="3E9F4895"/>
    <w:rsid w:val="3EA6533F"/>
    <w:rsid w:val="3ECD7713"/>
    <w:rsid w:val="3ECE2C18"/>
    <w:rsid w:val="3ED51025"/>
    <w:rsid w:val="3EDF33BB"/>
    <w:rsid w:val="3EF003A8"/>
    <w:rsid w:val="3EF3475E"/>
    <w:rsid w:val="3F095681"/>
    <w:rsid w:val="3F413CC5"/>
    <w:rsid w:val="3F4F7EC2"/>
    <w:rsid w:val="3F5F4471"/>
    <w:rsid w:val="3F993F04"/>
    <w:rsid w:val="3FC40205"/>
    <w:rsid w:val="3FE24677"/>
    <w:rsid w:val="3FFF04B0"/>
    <w:rsid w:val="401A5EF0"/>
    <w:rsid w:val="40271F5C"/>
    <w:rsid w:val="405F54C4"/>
    <w:rsid w:val="407056B1"/>
    <w:rsid w:val="407D2E33"/>
    <w:rsid w:val="408771D7"/>
    <w:rsid w:val="40891574"/>
    <w:rsid w:val="408E1FCA"/>
    <w:rsid w:val="409059C0"/>
    <w:rsid w:val="409C64A6"/>
    <w:rsid w:val="40AF5E8F"/>
    <w:rsid w:val="40BF2021"/>
    <w:rsid w:val="40FD44FE"/>
    <w:rsid w:val="410D54FF"/>
    <w:rsid w:val="411D3F96"/>
    <w:rsid w:val="412233A4"/>
    <w:rsid w:val="413E1BC3"/>
    <w:rsid w:val="41477A67"/>
    <w:rsid w:val="414810A7"/>
    <w:rsid w:val="41581702"/>
    <w:rsid w:val="41614FF9"/>
    <w:rsid w:val="4173688E"/>
    <w:rsid w:val="417807D9"/>
    <w:rsid w:val="418D27F5"/>
    <w:rsid w:val="41954C58"/>
    <w:rsid w:val="4196330C"/>
    <w:rsid w:val="41AC141A"/>
    <w:rsid w:val="41C64205"/>
    <w:rsid w:val="41EB3A9E"/>
    <w:rsid w:val="42002BF2"/>
    <w:rsid w:val="4201379A"/>
    <w:rsid w:val="420A743F"/>
    <w:rsid w:val="421C1817"/>
    <w:rsid w:val="422229E2"/>
    <w:rsid w:val="422F5CF0"/>
    <w:rsid w:val="423B62AA"/>
    <w:rsid w:val="42471655"/>
    <w:rsid w:val="42B06238"/>
    <w:rsid w:val="42BE0EFB"/>
    <w:rsid w:val="42C3699F"/>
    <w:rsid w:val="42C45FF8"/>
    <w:rsid w:val="42CA1067"/>
    <w:rsid w:val="42D62563"/>
    <w:rsid w:val="42E63A7F"/>
    <w:rsid w:val="42F86EFF"/>
    <w:rsid w:val="43091CFC"/>
    <w:rsid w:val="430A4F68"/>
    <w:rsid w:val="43117778"/>
    <w:rsid w:val="431C55A9"/>
    <w:rsid w:val="432A7C66"/>
    <w:rsid w:val="433418CB"/>
    <w:rsid w:val="43413339"/>
    <w:rsid w:val="43541CB0"/>
    <w:rsid w:val="43644288"/>
    <w:rsid w:val="436D039F"/>
    <w:rsid w:val="438313E0"/>
    <w:rsid w:val="43986FE0"/>
    <w:rsid w:val="439E5AF5"/>
    <w:rsid w:val="43C646E2"/>
    <w:rsid w:val="43D9610F"/>
    <w:rsid w:val="43E04637"/>
    <w:rsid w:val="43FA55C2"/>
    <w:rsid w:val="441270B5"/>
    <w:rsid w:val="44190C7C"/>
    <w:rsid w:val="4422096E"/>
    <w:rsid w:val="444157D5"/>
    <w:rsid w:val="44466E54"/>
    <w:rsid w:val="446D66E7"/>
    <w:rsid w:val="44833717"/>
    <w:rsid w:val="44A5291F"/>
    <w:rsid w:val="44C4421D"/>
    <w:rsid w:val="44CF2CDE"/>
    <w:rsid w:val="45052B0C"/>
    <w:rsid w:val="451A48EF"/>
    <w:rsid w:val="451B2AE2"/>
    <w:rsid w:val="451D5F36"/>
    <w:rsid w:val="45297009"/>
    <w:rsid w:val="452A4198"/>
    <w:rsid w:val="45306B99"/>
    <w:rsid w:val="45341E5B"/>
    <w:rsid w:val="454A41A9"/>
    <w:rsid w:val="454F1443"/>
    <w:rsid w:val="45596180"/>
    <w:rsid w:val="45635018"/>
    <w:rsid w:val="457922EE"/>
    <w:rsid w:val="45925F56"/>
    <w:rsid w:val="45944148"/>
    <w:rsid w:val="459C3A52"/>
    <w:rsid w:val="45A61A3F"/>
    <w:rsid w:val="45CE25C8"/>
    <w:rsid w:val="45D060B6"/>
    <w:rsid w:val="45E2131C"/>
    <w:rsid w:val="45E751E0"/>
    <w:rsid w:val="460725C0"/>
    <w:rsid w:val="460D4620"/>
    <w:rsid w:val="460D54F2"/>
    <w:rsid w:val="46160757"/>
    <w:rsid w:val="46182051"/>
    <w:rsid w:val="46511F57"/>
    <w:rsid w:val="465653EA"/>
    <w:rsid w:val="465B0DD6"/>
    <w:rsid w:val="465C2B7E"/>
    <w:rsid w:val="466678D8"/>
    <w:rsid w:val="46681CC5"/>
    <w:rsid w:val="466A4950"/>
    <w:rsid w:val="46722845"/>
    <w:rsid w:val="46854413"/>
    <w:rsid w:val="46AA3BAF"/>
    <w:rsid w:val="46CA2A30"/>
    <w:rsid w:val="46E55EA9"/>
    <w:rsid w:val="46E903F6"/>
    <w:rsid w:val="46FF778E"/>
    <w:rsid w:val="4702061D"/>
    <w:rsid w:val="470F50AF"/>
    <w:rsid w:val="471A08BE"/>
    <w:rsid w:val="471C3E9C"/>
    <w:rsid w:val="472D380E"/>
    <w:rsid w:val="473B610C"/>
    <w:rsid w:val="47407861"/>
    <w:rsid w:val="4756581D"/>
    <w:rsid w:val="477E34E4"/>
    <w:rsid w:val="4791799F"/>
    <w:rsid w:val="479428F1"/>
    <w:rsid w:val="47971775"/>
    <w:rsid w:val="47BE0861"/>
    <w:rsid w:val="47CC5BBD"/>
    <w:rsid w:val="47ED3CA2"/>
    <w:rsid w:val="4801373A"/>
    <w:rsid w:val="4803315E"/>
    <w:rsid w:val="480A0199"/>
    <w:rsid w:val="481467FD"/>
    <w:rsid w:val="482F079F"/>
    <w:rsid w:val="483010A5"/>
    <w:rsid w:val="48334E31"/>
    <w:rsid w:val="4839790E"/>
    <w:rsid w:val="483C0786"/>
    <w:rsid w:val="48550397"/>
    <w:rsid w:val="4865747A"/>
    <w:rsid w:val="48856AA8"/>
    <w:rsid w:val="488A3975"/>
    <w:rsid w:val="4897562F"/>
    <w:rsid w:val="48CB40E1"/>
    <w:rsid w:val="48D51D8B"/>
    <w:rsid w:val="48D9107A"/>
    <w:rsid w:val="48E41C5A"/>
    <w:rsid w:val="49130208"/>
    <w:rsid w:val="49392584"/>
    <w:rsid w:val="493B6AAC"/>
    <w:rsid w:val="49700CFC"/>
    <w:rsid w:val="497C39F6"/>
    <w:rsid w:val="498D060A"/>
    <w:rsid w:val="499C3073"/>
    <w:rsid w:val="49BC5471"/>
    <w:rsid w:val="49DA04FD"/>
    <w:rsid w:val="49DA5D92"/>
    <w:rsid w:val="49DD0F1D"/>
    <w:rsid w:val="49E20D34"/>
    <w:rsid w:val="4A1324CB"/>
    <w:rsid w:val="4A1677E0"/>
    <w:rsid w:val="4A1A4DC2"/>
    <w:rsid w:val="4A257DD0"/>
    <w:rsid w:val="4A38409F"/>
    <w:rsid w:val="4A4B510A"/>
    <w:rsid w:val="4A504CF6"/>
    <w:rsid w:val="4A6E2D05"/>
    <w:rsid w:val="4A937223"/>
    <w:rsid w:val="4AAE39A4"/>
    <w:rsid w:val="4AB770A4"/>
    <w:rsid w:val="4ABD361B"/>
    <w:rsid w:val="4AC30180"/>
    <w:rsid w:val="4AC54B94"/>
    <w:rsid w:val="4ADC49B4"/>
    <w:rsid w:val="4B0801BB"/>
    <w:rsid w:val="4B0938BE"/>
    <w:rsid w:val="4B275ED4"/>
    <w:rsid w:val="4B4E0FC1"/>
    <w:rsid w:val="4B5A11A2"/>
    <w:rsid w:val="4B613829"/>
    <w:rsid w:val="4B7343E0"/>
    <w:rsid w:val="4B7B6C4C"/>
    <w:rsid w:val="4B8143F2"/>
    <w:rsid w:val="4B9565DB"/>
    <w:rsid w:val="4BA9289B"/>
    <w:rsid w:val="4BC624A8"/>
    <w:rsid w:val="4BED5700"/>
    <w:rsid w:val="4BF54DFA"/>
    <w:rsid w:val="4C25088A"/>
    <w:rsid w:val="4C260C7A"/>
    <w:rsid w:val="4C272002"/>
    <w:rsid w:val="4C51523E"/>
    <w:rsid w:val="4C6961B4"/>
    <w:rsid w:val="4C7622A1"/>
    <w:rsid w:val="4C9512AC"/>
    <w:rsid w:val="4CBF4CEF"/>
    <w:rsid w:val="4CD527C8"/>
    <w:rsid w:val="4CD74D54"/>
    <w:rsid w:val="4CDC10F5"/>
    <w:rsid w:val="4CE67327"/>
    <w:rsid w:val="4CEB61EE"/>
    <w:rsid w:val="4CFF0540"/>
    <w:rsid w:val="4D1B4BF6"/>
    <w:rsid w:val="4D3043B8"/>
    <w:rsid w:val="4D455E95"/>
    <w:rsid w:val="4D506F55"/>
    <w:rsid w:val="4D5E1FDB"/>
    <w:rsid w:val="4D640D09"/>
    <w:rsid w:val="4D6C0912"/>
    <w:rsid w:val="4D7C205D"/>
    <w:rsid w:val="4D934E46"/>
    <w:rsid w:val="4D9D220A"/>
    <w:rsid w:val="4DAB5909"/>
    <w:rsid w:val="4DB21980"/>
    <w:rsid w:val="4DCD56A8"/>
    <w:rsid w:val="4DFD1E86"/>
    <w:rsid w:val="4E097ACA"/>
    <w:rsid w:val="4E0B01FE"/>
    <w:rsid w:val="4E4E3891"/>
    <w:rsid w:val="4E7B594C"/>
    <w:rsid w:val="4E7B64C2"/>
    <w:rsid w:val="4E9D1C1C"/>
    <w:rsid w:val="4E9F0C0D"/>
    <w:rsid w:val="4EA75F3A"/>
    <w:rsid w:val="4EAF1CC4"/>
    <w:rsid w:val="4EEF6771"/>
    <w:rsid w:val="4F1849CE"/>
    <w:rsid w:val="4F1B1845"/>
    <w:rsid w:val="4F1C0D87"/>
    <w:rsid w:val="4F2A5D64"/>
    <w:rsid w:val="4F2F61D8"/>
    <w:rsid w:val="4F3610D5"/>
    <w:rsid w:val="4F3772ED"/>
    <w:rsid w:val="4F377DEA"/>
    <w:rsid w:val="4F3E2DF1"/>
    <w:rsid w:val="4F444103"/>
    <w:rsid w:val="4F490CA6"/>
    <w:rsid w:val="4F4B2539"/>
    <w:rsid w:val="4F4B5944"/>
    <w:rsid w:val="4F5B77C3"/>
    <w:rsid w:val="4FA451DF"/>
    <w:rsid w:val="4FBD2661"/>
    <w:rsid w:val="4FBF682B"/>
    <w:rsid w:val="4FC4665A"/>
    <w:rsid w:val="4FF3728E"/>
    <w:rsid w:val="4FFE6835"/>
    <w:rsid w:val="500258BF"/>
    <w:rsid w:val="50164E9C"/>
    <w:rsid w:val="5039019E"/>
    <w:rsid w:val="50527900"/>
    <w:rsid w:val="505A1FF4"/>
    <w:rsid w:val="505A55CD"/>
    <w:rsid w:val="50695D0B"/>
    <w:rsid w:val="50717C95"/>
    <w:rsid w:val="507E1E70"/>
    <w:rsid w:val="50860FF0"/>
    <w:rsid w:val="50CE2F73"/>
    <w:rsid w:val="510D5690"/>
    <w:rsid w:val="512348E8"/>
    <w:rsid w:val="512B60B4"/>
    <w:rsid w:val="513118E7"/>
    <w:rsid w:val="515E2842"/>
    <w:rsid w:val="51694722"/>
    <w:rsid w:val="5190720E"/>
    <w:rsid w:val="51C20F3A"/>
    <w:rsid w:val="51C621E0"/>
    <w:rsid w:val="51D05EF0"/>
    <w:rsid w:val="51E63EA3"/>
    <w:rsid w:val="51F14A65"/>
    <w:rsid w:val="51F6040A"/>
    <w:rsid w:val="52063118"/>
    <w:rsid w:val="527B18BB"/>
    <w:rsid w:val="52A9097C"/>
    <w:rsid w:val="52B54EDC"/>
    <w:rsid w:val="52C939F0"/>
    <w:rsid w:val="52EC44CE"/>
    <w:rsid w:val="53096FB7"/>
    <w:rsid w:val="5317448F"/>
    <w:rsid w:val="53231B39"/>
    <w:rsid w:val="532E3271"/>
    <w:rsid w:val="533539DF"/>
    <w:rsid w:val="53653F46"/>
    <w:rsid w:val="538439FF"/>
    <w:rsid w:val="53900643"/>
    <w:rsid w:val="53914580"/>
    <w:rsid w:val="5392540C"/>
    <w:rsid w:val="53B20924"/>
    <w:rsid w:val="53B3034F"/>
    <w:rsid w:val="53C438F2"/>
    <w:rsid w:val="53CD2711"/>
    <w:rsid w:val="540A11ED"/>
    <w:rsid w:val="543C6045"/>
    <w:rsid w:val="54442A7B"/>
    <w:rsid w:val="54577048"/>
    <w:rsid w:val="545C4EB6"/>
    <w:rsid w:val="54721B42"/>
    <w:rsid w:val="54EB1C13"/>
    <w:rsid w:val="55182082"/>
    <w:rsid w:val="55442C87"/>
    <w:rsid w:val="554A6079"/>
    <w:rsid w:val="5558452D"/>
    <w:rsid w:val="55646D9A"/>
    <w:rsid w:val="5572737D"/>
    <w:rsid w:val="557E0F4D"/>
    <w:rsid w:val="557F3BEB"/>
    <w:rsid w:val="55997285"/>
    <w:rsid w:val="55BD6D09"/>
    <w:rsid w:val="55BE6A05"/>
    <w:rsid w:val="55C477FF"/>
    <w:rsid w:val="55C83941"/>
    <w:rsid w:val="55DA29AC"/>
    <w:rsid w:val="55DB488F"/>
    <w:rsid w:val="55F92F01"/>
    <w:rsid w:val="561E6AF9"/>
    <w:rsid w:val="561F5757"/>
    <w:rsid w:val="562B638E"/>
    <w:rsid w:val="56424DE3"/>
    <w:rsid w:val="568850AA"/>
    <w:rsid w:val="56BE2DED"/>
    <w:rsid w:val="56C54A41"/>
    <w:rsid w:val="56CF16EA"/>
    <w:rsid w:val="56D51695"/>
    <w:rsid w:val="56E01E7C"/>
    <w:rsid w:val="56F62F15"/>
    <w:rsid w:val="56FF2C87"/>
    <w:rsid w:val="57016C0B"/>
    <w:rsid w:val="57083261"/>
    <w:rsid w:val="571E0A0C"/>
    <w:rsid w:val="571E1ADE"/>
    <w:rsid w:val="57735468"/>
    <w:rsid w:val="57736901"/>
    <w:rsid w:val="577B1689"/>
    <w:rsid w:val="577B4C0F"/>
    <w:rsid w:val="57854EF9"/>
    <w:rsid w:val="578E5B6E"/>
    <w:rsid w:val="57AC473C"/>
    <w:rsid w:val="57D1269B"/>
    <w:rsid w:val="57E639F8"/>
    <w:rsid w:val="57F435E4"/>
    <w:rsid w:val="58033794"/>
    <w:rsid w:val="58212766"/>
    <w:rsid w:val="58263803"/>
    <w:rsid w:val="583B5BED"/>
    <w:rsid w:val="584B2C50"/>
    <w:rsid w:val="58575B08"/>
    <w:rsid w:val="589C0B6F"/>
    <w:rsid w:val="58A806C6"/>
    <w:rsid w:val="58B26E94"/>
    <w:rsid w:val="58D53FE9"/>
    <w:rsid w:val="59020C98"/>
    <w:rsid w:val="5959116E"/>
    <w:rsid w:val="59633BAD"/>
    <w:rsid w:val="59A71C9E"/>
    <w:rsid w:val="59A76356"/>
    <w:rsid w:val="59F04A80"/>
    <w:rsid w:val="59F519D4"/>
    <w:rsid w:val="59F85C2D"/>
    <w:rsid w:val="5A050A6E"/>
    <w:rsid w:val="5A2630E3"/>
    <w:rsid w:val="5A307436"/>
    <w:rsid w:val="5A403EEE"/>
    <w:rsid w:val="5A4B0CCF"/>
    <w:rsid w:val="5A582702"/>
    <w:rsid w:val="5A9A1081"/>
    <w:rsid w:val="5ABD6DE3"/>
    <w:rsid w:val="5ABE4B4A"/>
    <w:rsid w:val="5AC52707"/>
    <w:rsid w:val="5AC7420B"/>
    <w:rsid w:val="5AE24B69"/>
    <w:rsid w:val="5AEC7070"/>
    <w:rsid w:val="5B0C0D1E"/>
    <w:rsid w:val="5B1001B5"/>
    <w:rsid w:val="5B1038C0"/>
    <w:rsid w:val="5B34668A"/>
    <w:rsid w:val="5B505F2C"/>
    <w:rsid w:val="5B520346"/>
    <w:rsid w:val="5B53605F"/>
    <w:rsid w:val="5B5D078C"/>
    <w:rsid w:val="5B6031DF"/>
    <w:rsid w:val="5B811F6C"/>
    <w:rsid w:val="5B966550"/>
    <w:rsid w:val="5BA832AB"/>
    <w:rsid w:val="5BCF6F3C"/>
    <w:rsid w:val="5BD55463"/>
    <w:rsid w:val="5BD64EC0"/>
    <w:rsid w:val="5BDB4983"/>
    <w:rsid w:val="5BED44EF"/>
    <w:rsid w:val="5BEE1FFE"/>
    <w:rsid w:val="5BFB1FB9"/>
    <w:rsid w:val="5C762B57"/>
    <w:rsid w:val="5C7D3080"/>
    <w:rsid w:val="5C7E0D7E"/>
    <w:rsid w:val="5C864410"/>
    <w:rsid w:val="5CA409DB"/>
    <w:rsid w:val="5CB30722"/>
    <w:rsid w:val="5CC6567E"/>
    <w:rsid w:val="5CD77A98"/>
    <w:rsid w:val="5CF47502"/>
    <w:rsid w:val="5CF60A0C"/>
    <w:rsid w:val="5D2106CA"/>
    <w:rsid w:val="5D274F13"/>
    <w:rsid w:val="5D3E0BA9"/>
    <w:rsid w:val="5D53665D"/>
    <w:rsid w:val="5D690E03"/>
    <w:rsid w:val="5D6935B6"/>
    <w:rsid w:val="5D8B2FDB"/>
    <w:rsid w:val="5D980AE0"/>
    <w:rsid w:val="5D9C768D"/>
    <w:rsid w:val="5DC32F9C"/>
    <w:rsid w:val="5DCF2540"/>
    <w:rsid w:val="5DDE0A36"/>
    <w:rsid w:val="5DE9733D"/>
    <w:rsid w:val="5DED6180"/>
    <w:rsid w:val="5E08794E"/>
    <w:rsid w:val="5E0D6B87"/>
    <w:rsid w:val="5E3677AF"/>
    <w:rsid w:val="5E4C0BFA"/>
    <w:rsid w:val="5E85744A"/>
    <w:rsid w:val="5E9D79FE"/>
    <w:rsid w:val="5EA4369B"/>
    <w:rsid w:val="5EBB3B43"/>
    <w:rsid w:val="5F0F7B0F"/>
    <w:rsid w:val="5F1D3C82"/>
    <w:rsid w:val="5F341672"/>
    <w:rsid w:val="5FB2630F"/>
    <w:rsid w:val="5FD7533F"/>
    <w:rsid w:val="5FEB2D87"/>
    <w:rsid w:val="5FF92694"/>
    <w:rsid w:val="60094922"/>
    <w:rsid w:val="600E1AEF"/>
    <w:rsid w:val="60235E44"/>
    <w:rsid w:val="60247FFD"/>
    <w:rsid w:val="60285AB9"/>
    <w:rsid w:val="602F511B"/>
    <w:rsid w:val="604A5077"/>
    <w:rsid w:val="604B1BE5"/>
    <w:rsid w:val="605F2621"/>
    <w:rsid w:val="606648E2"/>
    <w:rsid w:val="606F30CE"/>
    <w:rsid w:val="60A14466"/>
    <w:rsid w:val="60B50C23"/>
    <w:rsid w:val="6107582C"/>
    <w:rsid w:val="612F392E"/>
    <w:rsid w:val="613D0256"/>
    <w:rsid w:val="614C7A15"/>
    <w:rsid w:val="618B4124"/>
    <w:rsid w:val="618D3BCD"/>
    <w:rsid w:val="61AA5A61"/>
    <w:rsid w:val="61D740F7"/>
    <w:rsid w:val="6228378C"/>
    <w:rsid w:val="6228683D"/>
    <w:rsid w:val="622D3184"/>
    <w:rsid w:val="625B5CA9"/>
    <w:rsid w:val="62756CE9"/>
    <w:rsid w:val="6294722E"/>
    <w:rsid w:val="62E56056"/>
    <w:rsid w:val="63003347"/>
    <w:rsid w:val="63023C14"/>
    <w:rsid w:val="63193A39"/>
    <w:rsid w:val="63295801"/>
    <w:rsid w:val="63471E49"/>
    <w:rsid w:val="634D713D"/>
    <w:rsid w:val="636D2F3A"/>
    <w:rsid w:val="63771C40"/>
    <w:rsid w:val="63776804"/>
    <w:rsid w:val="638B6757"/>
    <w:rsid w:val="638E4C30"/>
    <w:rsid w:val="639E2905"/>
    <w:rsid w:val="63AD2418"/>
    <w:rsid w:val="63F65FBD"/>
    <w:rsid w:val="642F4426"/>
    <w:rsid w:val="643323DD"/>
    <w:rsid w:val="64381701"/>
    <w:rsid w:val="646F5129"/>
    <w:rsid w:val="64877C97"/>
    <w:rsid w:val="64A175F9"/>
    <w:rsid w:val="64BD6E2A"/>
    <w:rsid w:val="64C20E5B"/>
    <w:rsid w:val="64C67E05"/>
    <w:rsid w:val="64CF0127"/>
    <w:rsid w:val="64DA2E60"/>
    <w:rsid w:val="64DC230E"/>
    <w:rsid w:val="64E4512C"/>
    <w:rsid w:val="64EF362D"/>
    <w:rsid w:val="64F472AA"/>
    <w:rsid w:val="65047D30"/>
    <w:rsid w:val="650D4276"/>
    <w:rsid w:val="650E3FA6"/>
    <w:rsid w:val="651E7FDE"/>
    <w:rsid w:val="65283AF6"/>
    <w:rsid w:val="65440D8C"/>
    <w:rsid w:val="654C3728"/>
    <w:rsid w:val="654C7BEB"/>
    <w:rsid w:val="65530E8F"/>
    <w:rsid w:val="65656A70"/>
    <w:rsid w:val="658D79B1"/>
    <w:rsid w:val="658F5C47"/>
    <w:rsid w:val="659B022A"/>
    <w:rsid w:val="65B31DC1"/>
    <w:rsid w:val="65CC1E3C"/>
    <w:rsid w:val="65E06B45"/>
    <w:rsid w:val="65FE712B"/>
    <w:rsid w:val="660D6F99"/>
    <w:rsid w:val="66374AE6"/>
    <w:rsid w:val="663F54F7"/>
    <w:rsid w:val="66442840"/>
    <w:rsid w:val="664C6704"/>
    <w:rsid w:val="664E5351"/>
    <w:rsid w:val="66503496"/>
    <w:rsid w:val="66520FBC"/>
    <w:rsid w:val="66595BE2"/>
    <w:rsid w:val="668B29C5"/>
    <w:rsid w:val="668B6FEC"/>
    <w:rsid w:val="66AE3981"/>
    <w:rsid w:val="66E83943"/>
    <w:rsid w:val="66ED6329"/>
    <w:rsid w:val="66EF6874"/>
    <w:rsid w:val="66F531AA"/>
    <w:rsid w:val="66F608B5"/>
    <w:rsid w:val="66FA66F1"/>
    <w:rsid w:val="6721791E"/>
    <w:rsid w:val="67271ECB"/>
    <w:rsid w:val="672A6B2F"/>
    <w:rsid w:val="67483420"/>
    <w:rsid w:val="6777089F"/>
    <w:rsid w:val="67AB0BF9"/>
    <w:rsid w:val="67C76B90"/>
    <w:rsid w:val="67D475FA"/>
    <w:rsid w:val="67FB439B"/>
    <w:rsid w:val="67FF4466"/>
    <w:rsid w:val="68011EEA"/>
    <w:rsid w:val="6817492F"/>
    <w:rsid w:val="68733E51"/>
    <w:rsid w:val="68920D3E"/>
    <w:rsid w:val="68B76196"/>
    <w:rsid w:val="68BA4B9D"/>
    <w:rsid w:val="68DB44E9"/>
    <w:rsid w:val="68E44CD3"/>
    <w:rsid w:val="6915360B"/>
    <w:rsid w:val="6923160C"/>
    <w:rsid w:val="692F3612"/>
    <w:rsid w:val="692F4C62"/>
    <w:rsid w:val="69484031"/>
    <w:rsid w:val="694C01BA"/>
    <w:rsid w:val="69692F41"/>
    <w:rsid w:val="6976615B"/>
    <w:rsid w:val="698A554F"/>
    <w:rsid w:val="699A4896"/>
    <w:rsid w:val="69A47AFA"/>
    <w:rsid w:val="69A76CE5"/>
    <w:rsid w:val="69A80ADF"/>
    <w:rsid w:val="69B43BB5"/>
    <w:rsid w:val="69B766F1"/>
    <w:rsid w:val="69BB5619"/>
    <w:rsid w:val="69C14A40"/>
    <w:rsid w:val="69F6289F"/>
    <w:rsid w:val="6A09181B"/>
    <w:rsid w:val="6A201236"/>
    <w:rsid w:val="6A340B46"/>
    <w:rsid w:val="6A3B1032"/>
    <w:rsid w:val="6A3B678C"/>
    <w:rsid w:val="6A3C2FAD"/>
    <w:rsid w:val="6A4A5CE9"/>
    <w:rsid w:val="6A4C25E5"/>
    <w:rsid w:val="6A515F00"/>
    <w:rsid w:val="6A55183E"/>
    <w:rsid w:val="6A6E3D5C"/>
    <w:rsid w:val="6A7A34D3"/>
    <w:rsid w:val="6A7A37AF"/>
    <w:rsid w:val="6A7C3025"/>
    <w:rsid w:val="6A8678A3"/>
    <w:rsid w:val="6AA0506A"/>
    <w:rsid w:val="6AA565DC"/>
    <w:rsid w:val="6AB737B1"/>
    <w:rsid w:val="6ADD5CBB"/>
    <w:rsid w:val="6AF15144"/>
    <w:rsid w:val="6B0F0993"/>
    <w:rsid w:val="6B2240A0"/>
    <w:rsid w:val="6B34492E"/>
    <w:rsid w:val="6B5A7CCF"/>
    <w:rsid w:val="6B804D34"/>
    <w:rsid w:val="6B922CD6"/>
    <w:rsid w:val="6B9532DD"/>
    <w:rsid w:val="6B995E05"/>
    <w:rsid w:val="6B9C79D2"/>
    <w:rsid w:val="6BA44E6B"/>
    <w:rsid w:val="6BBD2685"/>
    <w:rsid w:val="6BFC2B36"/>
    <w:rsid w:val="6C0356D1"/>
    <w:rsid w:val="6C0861E5"/>
    <w:rsid w:val="6C7F32C4"/>
    <w:rsid w:val="6C932B17"/>
    <w:rsid w:val="6CD965DD"/>
    <w:rsid w:val="6CE564FB"/>
    <w:rsid w:val="6CF56B79"/>
    <w:rsid w:val="6CFD0CB4"/>
    <w:rsid w:val="6D294292"/>
    <w:rsid w:val="6D407B93"/>
    <w:rsid w:val="6D527549"/>
    <w:rsid w:val="6D676C75"/>
    <w:rsid w:val="6D7A5E4E"/>
    <w:rsid w:val="6D8B5E4D"/>
    <w:rsid w:val="6DA51AA2"/>
    <w:rsid w:val="6DA90B58"/>
    <w:rsid w:val="6DB0119C"/>
    <w:rsid w:val="6DBC0C33"/>
    <w:rsid w:val="6DC34E36"/>
    <w:rsid w:val="6DC7329C"/>
    <w:rsid w:val="6DC94F76"/>
    <w:rsid w:val="6DD8597B"/>
    <w:rsid w:val="6DE97103"/>
    <w:rsid w:val="6DED3E1E"/>
    <w:rsid w:val="6DFC0BE4"/>
    <w:rsid w:val="6E057977"/>
    <w:rsid w:val="6E1A25DF"/>
    <w:rsid w:val="6E2C0D7B"/>
    <w:rsid w:val="6E2C2401"/>
    <w:rsid w:val="6E3B50EF"/>
    <w:rsid w:val="6E4E2C42"/>
    <w:rsid w:val="6E5227E6"/>
    <w:rsid w:val="6E680A74"/>
    <w:rsid w:val="6E9C4620"/>
    <w:rsid w:val="6EAE5F1D"/>
    <w:rsid w:val="6EEB2B8B"/>
    <w:rsid w:val="6EF10C0B"/>
    <w:rsid w:val="6EFA70F5"/>
    <w:rsid w:val="6F1C3A79"/>
    <w:rsid w:val="6F246A6B"/>
    <w:rsid w:val="6F266E28"/>
    <w:rsid w:val="6F392F97"/>
    <w:rsid w:val="6F501AC0"/>
    <w:rsid w:val="6F5959E9"/>
    <w:rsid w:val="6F654AB4"/>
    <w:rsid w:val="6F7264A0"/>
    <w:rsid w:val="6F7715DE"/>
    <w:rsid w:val="6F7D4D72"/>
    <w:rsid w:val="6F7E1F74"/>
    <w:rsid w:val="6F935345"/>
    <w:rsid w:val="6F9B47D1"/>
    <w:rsid w:val="6FB12692"/>
    <w:rsid w:val="6FBF6389"/>
    <w:rsid w:val="6FC753E3"/>
    <w:rsid w:val="6FEB653F"/>
    <w:rsid w:val="700A4635"/>
    <w:rsid w:val="704A4E26"/>
    <w:rsid w:val="705E3594"/>
    <w:rsid w:val="706D47F2"/>
    <w:rsid w:val="70CC3C5C"/>
    <w:rsid w:val="70D13186"/>
    <w:rsid w:val="70DA79DB"/>
    <w:rsid w:val="70E66DDE"/>
    <w:rsid w:val="710708CC"/>
    <w:rsid w:val="710D33C2"/>
    <w:rsid w:val="71201E7A"/>
    <w:rsid w:val="713944E1"/>
    <w:rsid w:val="71B11E98"/>
    <w:rsid w:val="71B625C8"/>
    <w:rsid w:val="71D04CEB"/>
    <w:rsid w:val="71D4011E"/>
    <w:rsid w:val="71EE678E"/>
    <w:rsid w:val="71EF21D9"/>
    <w:rsid w:val="71F83650"/>
    <w:rsid w:val="720E20E5"/>
    <w:rsid w:val="721D22C8"/>
    <w:rsid w:val="72761ACE"/>
    <w:rsid w:val="729C5D0C"/>
    <w:rsid w:val="72A80664"/>
    <w:rsid w:val="72B33B48"/>
    <w:rsid w:val="72CC236B"/>
    <w:rsid w:val="730205CB"/>
    <w:rsid w:val="73047594"/>
    <w:rsid w:val="730C7017"/>
    <w:rsid w:val="732032AC"/>
    <w:rsid w:val="73253CEE"/>
    <w:rsid w:val="73282EAD"/>
    <w:rsid w:val="736B0D9C"/>
    <w:rsid w:val="73B65107"/>
    <w:rsid w:val="73E96CCD"/>
    <w:rsid w:val="73E9784B"/>
    <w:rsid w:val="73F0718E"/>
    <w:rsid w:val="73FC6321"/>
    <w:rsid w:val="74070CA0"/>
    <w:rsid w:val="740A2040"/>
    <w:rsid w:val="747A3300"/>
    <w:rsid w:val="7481099D"/>
    <w:rsid w:val="74856120"/>
    <w:rsid w:val="748E118B"/>
    <w:rsid w:val="74B57A32"/>
    <w:rsid w:val="74D64864"/>
    <w:rsid w:val="74E16D8B"/>
    <w:rsid w:val="74E87DC9"/>
    <w:rsid w:val="75151909"/>
    <w:rsid w:val="751B76E8"/>
    <w:rsid w:val="751C632F"/>
    <w:rsid w:val="755D712B"/>
    <w:rsid w:val="75871A0B"/>
    <w:rsid w:val="75896036"/>
    <w:rsid w:val="75991092"/>
    <w:rsid w:val="759B5E27"/>
    <w:rsid w:val="75C04FAC"/>
    <w:rsid w:val="75C24137"/>
    <w:rsid w:val="75D03F20"/>
    <w:rsid w:val="75E623C5"/>
    <w:rsid w:val="75F83F2A"/>
    <w:rsid w:val="761335AB"/>
    <w:rsid w:val="76373B59"/>
    <w:rsid w:val="764C17F9"/>
    <w:rsid w:val="765B6B67"/>
    <w:rsid w:val="765F6F55"/>
    <w:rsid w:val="76695258"/>
    <w:rsid w:val="767945B8"/>
    <w:rsid w:val="769B5423"/>
    <w:rsid w:val="76B356B1"/>
    <w:rsid w:val="76BB4F39"/>
    <w:rsid w:val="76D600D5"/>
    <w:rsid w:val="772D2EED"/>
    <w:rsid w:val="77364257"/>
    <w:rsid w:val="774D70B5"/>
    <w:rsid w:val="77711DFB"/>
    <w:rsid w:val="77791211"/>
    <w:rsid w:val="778B06B0"/>
    <w:rsid w:val="77A870F8"/>
    <w:rsid w:val="77C853D2"/>
    <w:rsid w:val="77CB6284"/>
    <w:rsid w:val="77D54C59"/>
    <w:rsid w:val="77D9063B"/>
    <w:rsid w:val="78474B5C"/>
    <w:rsid w:val="78A82F32"/>
    <w:rsid w:val="78FC7191"/>
    <w:rsid w:val="79072005"/>
    <w:rsid w:val="790F66E7"/>
    <w:rsid w:val="796558AF"/>
    <w:rsid w:val="79714322"/>
    <w:rsid w:val="79925588"/>
    <w:rsid w:val="79B90752"/>
    <w:rsid w:val="79E84AA0"/>
    <w:rsid w:val="79F253C4"/>
    <w:rsid w:val="79F34BAE"/>
    <w:rsid w:val="7A0D2E4B"/>
    <w:rsid w:val="7A263D9D"/>
    <w:rsid w:val="7A2D254D"/>
    <w:rsid w:val="7A377F78"/>
    <w:rsid w:val="7A3C22D1"/>
    <w:rsid w:val="7A6E4C98"/>
    <w:rsid w:val="7A8C352B"/>
    <w:rsid w:val="7A9279F6"/>
    <w:rsid w:val="7AC22E37"/>
    <w:rsid w:val="7AD803EA"/>
    <w:rsid w:val="7B0574E9"/>
    <w:rsid w:val="7B091377"/>
    <w:rsid w:val="7B367327"/>
    <w:rsid w:val="7B5E2AA7"/>
    <w:rsid w:val="7B71168E"/>
    <w:rsid w:val="7B9F046E"/>
    <w:rsid w:val="7BA571A1"/>
    <w:rsid w:val="7BA84BDE"/>
    <w:rsid w:val="7BDA4C3E"/>
    <w:rsid w:val="7BED0D99"/>
    <w:rsid w:val="7BF7759F"/>
    <w:rsid w:val="7C0E5BCD"/>
    <w:rsid w:val="7C1B4A3B"/>
    <w:rsid w:val="7C211D7D"/>
    <w:rsid w:val="7C2E45FA"/>
    <w:rsid w:val="7C366D83"/>
    <w:rsid w:val="7C8B7927"/>
    <w:rsid w:val="7CAE35FB"/>
    <w:rsid w:val="7CB163F4"/>
    <w:rsid w:val="7CB84091"/>
    <w:rsid w:val="7CC6207B"/>
    <w:rsid w:val="7CD4053F"/>
    <w:rsid w:val="7CE876FE"/>
    <w:rsid w:val="7CE95539"/>
    <w:rsid w:val="7CFD457B"/>
    <w:rsid w:val="7D2240D7"/>
    <w:rsid w:val="7D475241"/>
    <w:rsid w:val="7D650780"/>
    <w:rsid w:val="7D796EE5"/>
    <w:rsid w:val="7D947886"/>
    <w:rsid w:val="7D99028E"/>
    <w:rsid w:val="7DBD1010"/>
    <w:rsid w:val="7DDB60E4"/>
    <w:rsid w:val="7DE91C2E"/>
    <w:rsid w:val="7DFA36D3"/>
    <w:rsid w:val="7E0247C5"/>
    <w:rsid w:val="7E2146D8"/>
    <w:rsid w:val="7E3D10ED"/>
    <w:rsid w:val="7E4B2A52"/>
    <w:rsid w:val="7E5C2FAF"/>
    <w:rsid w:val="7E74390A"/>
    <w:rsid w:val="7EA64FD4"/>
    <w:rsid w:val="7EA652E1"/>
    <w:rsid w:val="7EAD7C73"/>
    <w:rsid w:val="7EC62B4F"/>
    <w:rsid w:val="7EC8404B"/>
    <w:rsid w:val="7ED4259F"/>
    <w:rsid w:val="7ED656C1"/>
    <w:rsid w:val="7EF11A57"/>
    <w:rsid w:val="7F1055D7"/>
    <w:rsid w:val="7F512BDD"/>
    <w:rsid w:val="7F5B6C76"/>
    <w:rsid w:val="7F985DEA"/>
    <w:rsid w:val="7FA01DE8"/>
    <w:rsid w:val="7FA254D6"/>
    <w:rsid w:val="7FAA6926"/>
    <w:rsid w:val="7FD30895"/>
    <w:rsid w:val="7FEA0ADA"/>
    <w:rsid w:val="7FEE1B73"/>
    <w:rsid w:val="7FEE3BCC"/>
    <w:rsid w:val="7FF13E85"/>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3"/>
    <w:qFormat/>
    <w:uiPriority w:val="0"/>
    <w:pPr>
      <w:keepNext/>
      <w:keepLines/>
      <w:numPr>
        <w:ilvl w:val="0"/>
        <w:numId w:val="2"/>
      </w:numPr>
      <w:spacing w:line="360" w:lineRule="auto"/>
      <w:outlineLvl w:val="1"/>
    </w:pPr>
    <w:rPr>
      <w:rFonts w:ascii="Arial" w:hAnsi="Arial"/>
      <w:b/>
      <w:bCs/>
      <w:sz w:val="28"/>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Title"/>
    <w:basedOn w:val="1"/>
    <w:next w:val="1"/>
    <w:qFormat/>
    <w:uiPriority w:val="0"/>
    <w:pPr>
      <w:jc w:val="center"/>
    </w:pPr>
    <w:rPr>
      <w:sz w:val="30"/>
      <w:szCs w:val="30"/>
    </w:rPr>
  </w:style>
  <w:style w:type="paragraph" w:styleId="12">
    <w:name w:val="Body Text First Indent 2"/>
    <w:basedOn w:val="6"/>
    <w:next w:val="2"/>
    <w:unhideWhenUsed/>
    <w:qFormat/>
    <w:uiPriority w:val="99"/>
    <w:pPr>
      <w:ind w:firstLine="420" w:firstLineChars="200"/>
    </w:pPr>
    <w:rPr>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FollowedHyperlink"/>
    <w:basedOn w:val="15"/>
    <w:qFormat/>
    <w:uiPriority w:val="0"/>
    <w:rPr>
      <w:rFonts w:hint="eastAsia" w:ascii="微软雅黑" w:hAnsi="微软雅黑" w:eastAsia="微软雅黑" w:cs="微软雅黑"/>
      <w:color w:val="323232"/>
      <w:sz w:val="21"/>
      <w:szCs w:val="21"/>
      <w:u w:val="none"/>
    </w:rPr>
  </w:style>
  <w:style w:type="character" w:styleId="19">
    <w:name w:val="Hyperlink"/>
    <w:basedOn w:val="15"/>
    <w:qFormat/>
    <w:uiPriority w:val="0"/>
    <w:rPr>
      <w:color w:val="0000FF"/>
      <w:u w:val="single"/>
    </w:rPr>
  </w:style>
  <w:style w:type="paragraph" w:customStyle="1" w:styleId="20">
    <w:name w:val="WPSOffice手动目录 1"/>
    <w:qFormat/>
    <w:uiPriority w:val="0"/>
    <w:rPr>
      <w:rFonts w:asciiTheme="minorHAnsi" w:hAnsiTheme="minorHAnsi" w:eastAsiaTheme="minorEastAsia" w:cstheme="minorBidi"/>
      <w:lang w:val="en-US" w:eastAsia="zh-CN" w:bidi="ar-SA"/>
    </w:rPr>
  </w:style>
  <w:style w:type="paragraph" w:customStyle="1" w:styleId="21">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2">
    <w:name w:val="正文 题目"/>
    <w:basedOn w:val="1"/>
    <w:qFormat/>
    <w:uiPriority w:val="0"/>
    <w:pPr>
      <w:jc w:val="center"/>
    </w:pPr>
    <w:rPr>
      <w:rFonts w:ascii="黑体" w:hAnsi="黑体" w:eastAsia="黑体"/>
      <w:sz w:val="28"/>
    </w:rPr>
  </w:style>
  <w:style w:type="character" w:customStyle="1" w:styleId="23">
    <w:name w:val="标题 2 字符"/>
    <w:link w:val="4"/>
    <w:qFormat/>
    <w:uiPriority w:val="0"/>
    <w:rPr>
      <w:rFonts w:ascii="Arial" w:hAnsi="Arial"/>
      <w:b/>
      <w:bCs/>
      <w:sz w:val="28"/>
      <w:szCs w:val="32"/>
    </w:rPr>
  </w:style>
  <w:style w:type="character" w:customStyle="1" w:styleId="24">
    <w:name w:val="font01"/>
    <w:basedOn w:val="15"/>
    <w:qFormat/>
    <w:uiPriority w:val="0"/>
    <w:rPr>
      <w:rFonts w:hint="eastAsia" w:ascii="宋体" w:hAnsi="宋体" w:eastAsia="宋体" w:cs="宋体"/>
      <w:color w:val="000000"/>
      <w:sz w:val="20"/>
      <w:szCs w:val="20"/>
      <w:u w:val="none"/>
    </w:rPr>
  </w:style>
  <w:style w:type="character" w:customStyle="1" w:styleId="25">
    <w:name w:val="font31"/>
    <w:basedOn w:val="15"/>
    <w:qFormat/>
    <w:uiPriority w:val="0"/>
    <w:rPr>
      <w:rFonts w:hint="eastAsia" w:ascii="宋体" w:hAnsi="宋体" w:eastAsia="宋体" w:cs="宋体"/>
      <w:color w:val="000000"/>
      <w:sz w:val="24"/>
      <w:szCs w:val="24"/>
      <w:u w:val="none"/>
    </w:rPr>
  </w:style>
  <w:style w:type="character" w:customStyle="1" w:styleId="26">
    <w:name w:val="font61"/>
    <w:basedOn w:val="15"/>
    <w:qFormat/>
    <w:uiPriority w:val="0"/>
    <w:rPr>
      <w:rFonts w:hint="default" w:ascii="Times New Roman" w:hAnsi="Times New Roman" w:cs="Times New Roman"/>
      <w:color w:val="000000"/>
      <w:sz w:val="24"/>
      <w:szCs w:val="24"/>
      <w:u w:val="none"/>
    </w:rPr>
  </w:style>
  <w:style w:type="character" w:customStyle="1" w:styleId="27">
    <w:name w:val="font11"/>
    <w:basedOn w:val="15"/>
    <w:qFormat/>
    <w:uiPriority w:val="0"/>
    <w:rPr>
      <w:rFonts w:hint="eastAsia" w:ascii="宋体" w:hAnsi="宋体" w:eastAsia="宋体" w:cs="宋体"/>
      <w:color w:val="000000"/>
      <w:sz w:val="24"/>
      <w:szCs w:val="24"/>
      <w:u w:val="none"/>
    </w:rPr>
  </w:style>
  <w:style w:type="character" w:customStyle="1" w:styleId="28">
    <w:name w:val="font51"/>
    <w:basedOn w:val="15"/>
    <w:qFormat/>
    <w:uiPriority w:val="0"/>
    <w:rPr>
      <w:rFonts w:ascii="Calibri" w:hAnsi="Calibri" w:cs="Calibri"/>
      <w:color w:val="000000"/>
      <w:sz w:val="24"/>
      <w:szCs w:val="24"/>
      <w:u w:val="none"/>
    </w:rPr>
  </w:style>
  <w:style w:type="character" w:customStyle="1" w:styleId="29">
    <w:name w:val="font21"/>
    <w:basedOn w:val="15"/>
    <w:qFormat/>
    <w:uiPriority w:val="0"/>
    <w:rPr>
      <w:rFonts w:hint="eastAsia" w:ascii="宋体" w:hAnsi="宋体" w:eastAsia="宋体" w:cs="宋体"/>
      <w:b/>
      <w:bCs/>
      <w:color w:val="000000"/>
      <w:sz w:val="20"/>
      <w:szCs w:val="20"/>
      <w:u w:val="none"/>
    </w:rPr>
  </w:style>
  <w:style w:type="character" w:customStyle="1" w:styleId="30">
    <w:name w:val="font81"/>
    <w:basedOn w:val="15"/>
    <w:qFormat/>
    <w:uiPriority w:val="0"/>
    <w:rPr>
      <w:rFonts w:hint="default" w:ascii="Times New Roman" w:hAnsi="Times New Roman" w:cs="Times New Roman"/>
      <w:b/>
      <w:bCs/>
      <w:color w:val="000000"/>
      <w:sz w:val="20"/>
      <w:szCs w:val="20"/>
      <w:u w:val="none"/>
    </w:rPr>
  </w:style>
  <w:style w:type="character" w:customStyle="1" w:styleId="31">
    <w:name w:val="font41"/>
    <w:basedOn w:val="15"/>
    <w:qFormat/>
    <w:uiPriority w:val="0"/>
    <w:rPr>
      <w:rFonts w:hint="eastAsia" w:ascii="宋体" w:hAnsi="宋体" w:eastAsia="宋体" w:cs="宋体"/>
      <w:color w:val="000000"/>
      <w:sz w:val="20"/>
      <w:szCs w:val="20"/>
      <w:u w:val="none"/>
    </w:rPr>
  </w:style>
  <w:style w:type="character" w:customStyle="1" w:styleId="32">
    <w:name w:val="font71"/>
    <w:basedOn w:val="15"/>
    <w:qFormat/>
    <w:uiPriority w:val="0"/>
    <w:rPr>
      <w:rFonts w:hint="eastAsia" w:ascii="宋体" w:hAnsi="宋体" w:eastAsia="宋体" w:cs="宋体"/>
      <w:b/>
      <w:bCs/>
      <w:color w:val="000000"/>
      <w:sz w:val="20"/>
      <w:szCs w:val="20"/>
      <w:u w:val="none"/>
      <w:vertAlign w:val="superscript"/>
    </w:rPr>
  </w:style>
  <w:style w:type="character" w:customStyle="1" w:styleId="33">
    <w:name w:val="hover52"/>
    <w:basedOn w:val="15"/>
    <w:qFormat/>
    <w:uiPriority w:val="0"/>
    <w:rPr>
      <w:color w:val="D61521"/>
    </w:rPr>
  </w:style>
  <w:style w:type="paragraph" w:customStyle="1" w:styleId="34">
    <w:name w:val="Table Paragraph"/>
    <w:basedOn w:val="1"/>
    <w:qFormat/>
    <w:uiPriority w:val="1"/>
    <w:rPr>
      <w:rFonts w:ascii="宋体" w:hAnsi="宋体" w:eastAsia="宋体" w:cs="宋体"/>
      <w:lang w:val="zh-CN" w:bidi="zh-CN"/>
    </w:rPr>
  </w:style>
  <w:style w:type="character" w:customStyle="1" w:styleId="35">
    <w:name w:val="页眉 字符"/>
    <w:basedOn w:val="15"/>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2846AA"/>
    <w:rsid w:val="0000287D"/>
    <w:rsid w:val="001E3DB8"/>
    <w:rsid w:val="0020132E"/>
    <w:rsid w:val="0025476C"/>
    <w:rsid w:val="002846AA"/>
    <w:rsid w:val="0028688D"/>
    <w:rsid w:val="002E7CB9"/>
    <w:rsid w:val="00325307"/>
    <w:rsid w:val="00364037"/>
    <w:rsid w:val="0043559F"/>
    <w:rsid w:val="005578E2"/>
    <w:rsid w:val="00563911"/>
    <w:rsid w:val="00623D03"/>
    <w:rsid w:val="006C53A5"/>
    <w:rsid w:val="00736392"/>
    <w:rsid w:val="00772FC2"/>
    <w:rsid w:val="008F2DF3"/>
    <w:rsid w:val="00992F09"/>
    <w:rsid w:val="00AF55D7"/>
    <w:rsid w:val="00BC462D"/>
    <w:rsid w:val="00D144A3"/>
    <w:rsid w:val="00D624AA"/>
    <w:rsid w:val="00D651B5"/>
    <w:rsid w:val="00ED0938"/>
    <w:rsid w:val="00F02889"/>
    <w:rsid w:val="00F236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14825</Words>
  <Characters>16077</Characters>
  <Lines>127</Lines>
  <Paragraphs>35</Paragraphs>
  <TotalTime>2</TotalTime>
  <ScaleCrop>false</ScaleCrop>
  <LinksUpToDate>false</LinksUpToDate>
  <CharactersWithSpaces>16373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2022-04-14T03:51:00Z</dcterms:created>
  <dc:creator>Administrator</dc:creator>
  <cp:lastModifiedBy>Administrator</cp:lastModifiedBy>
  <dcterms:modified xsi:type="dcterms:W3CDTF">2022-04-20T08:40:58Z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E228C9FAD4514C9FBD60B28EA79ABF59</vt:lpwstr>
  </property>
</Properties>
</file>