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sz w:val="32"/>
          <w:szCs w:val="32"/>
          <w:u w:val="single"/>
        </w:rPr>
      </w:pPr>
    </w:p>
    <w:p>
      <w:pPr>
        <w:widowControl/>
        <w:jc w:val="center"/>
        <w:rPr>
          <w:rFonts w:ascii="Times New Roman" w:hAnsi="Times New Roman" w:cs="Times New Roman"/>
          <w:sz w:val="32"/>
          <w:szCs w:val="32"/>
          <w:u w:val="single"/>
        </w:rPr>
      </w:pPr>
    </w:p>
    <w:p>
      <w:pPr>
        <w:widowControl/>
        <w:jc w:val="center"/>
        <w:rPr>
          <w:rFonts w:hint="eastAsia" w:ascii="宋体" w:hAnsi="宋体" w:cs="宋体"/>
          <w:b/>
          <w:bCs/>
          <w:sz w:val="44"/>
          <w:szCs w:val="44"/>
        </w:rPr>
      </w:pPr>
      <w:r>
        <w:rPr>
          <w:rFonts w:hint="eastAsia" w:ascii="Times New Roman" w:hAnsi="Times New Roman" w:cs="Times New Roman"/>
          <w:b/>
          <w:bCs/>
          <w:sz w:val="44"/>
          <w:szCs w:val="44"/>
          <w:lang w:val="en-US" w:eastAsia="zh-CN"/>
        </w:rPr>
        <w:t>2022年度</w:t>
      </w:r>
      <w:r>
        <w:rPr>
          <w:rFonts w:hint="eastAsia" w:ascii="Times New Roman" w:hAnsi="Times New Roman" w:cs="Times New Roman"/>
          <w:b/>
          <w:bCs/>
          <w:sz w:val="44"/>
          <w:szCs w:val="44"/>
        </w:rPr>
        <w:t>安徽</w:t>
      </w:r>
      <w:r>
        <w:rPr>
          <w:rFonts w:hint="eastAsia" w:ascii="宋体" w:hAnsi="宋体" w:cs="宋体"/>
          <w:b/>
          <w:bCs/>
          <w:sz w:val="44"/>
          <w:szCs w:val="44"/>
        </w:rPr>
        <w:t>皖运保险代理有限公司</w:t>
      </w:r>
    </w:p>
    <w:p>
      <w:pPr>
        <w:widowControl/>
        <w:jc w:val="center"/>
        <w:rPr>
          <w:rFonts w:ascii="Times New Roman" w:hAnsi="Times New Roman" w:cs="Times New Roman"/>
          <w:sz w:val="32"/>
          <w:szCs w:val="32"/>
        </w:rPr>
      </w:pPr>
      <w:r>
        <w:rPr>
          <w:rFonts w:hint="eastAsia" w:ascii="宋体" w:hAnsi="宋体" w:cs="宋体"/>
          <w:b/>
          <w:bCs/>
          <w:sz w:val="44"/>
          <w:szCs w:val="44"/>
        </w:rPr>
        <w:t>相关税务咨询服务</w:t>
      </w:r>
      <w:r>
        <w:rPr>
          <w:rFonts w:ascii="Times New Roman" w:hAnsi="Times New Roman" w:eastAsia="宋体" w:cs="Times New Roman"/>
          <w:b/>
          <w:bCs/>
          <w:kern w:val="0"/>
          <w:sz w:val="44"/>
          <w:szCs w:val="44"/>
        </w:rPr>
        <w:t>询比</w:t>
      </w:r>
    </w:p>
    <w:p>
      <w:pPr>
        <w:spacing w:line="540" w:lineRule="exact"/>
        <w:ind w:firstLine="420"/>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黑体" w:hAnsi="黑体" w:eastAsia="黑体" w:cs="黑体"/>
          <w:sz w:val="32"/>
          <w:szCs w:val="32"/>
        </w:rPr>
        <w:t>安徽</w:t>
      </w:r>
      <w:r>
        <w:rPr>
          <w:rFonts w:hint="eastAsia" w:ascii="黑体" w:hAnsi="黑体" w:eastAsia="黑体" w:cs="黑体"/>
          <w:bCs/>
          <w:sz w:val="32"/>
          <w:szCs w:val="32"/>
        </w:rPr>
        <w:t>皖运保险代理有限公司</w:t>
      </w:r>
    </w:p>
    <w:p>
      <w:pPr>
        <w:snapToGrid w:val="0"/>
        <w:ind w:left="1896" w:leftChars="903"/>
        <w:rPr>
          <w:rFonts w:ascii="Times New Roman" w:hAnsi="Times New Roman" w:cs="Times New Roman"/>
          <w:sz w:val="32"/>
          <w:szCs w:val="32"/>
        </w:rPr>
      </w:pPr>
    </w:p>
    <w:p>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hint="eastAsia" w:ascii="Times New Roman" w:hAnsi="Times New Roman" w:eastAsia="黑体" w:cs="Times New Roman"/>
          <w:sz w:val="32"/>
          <w:szCs w:val="32"/>
        </w:rPr>
        <w:t>2022</w:t>
      </w:r>
      <w:r>
        <w:rPr>
          <w:rFonts w:ascii="Times New Roman" w:hAnsi="Times New Roman" w:cs="Times New Roman"/>
          <w:sz w:val="32"/>
          <w:szCs w:val="32"/>
        </w:rPr>
        <w:t>年</w:t>
      </w:r>
      <w:r>
        <w:rPr>
          <w:rFonts w:hint="eastAsia" w:ascii="Times New Roman" w:hAnsi="Times New Roman" w:eastAsia="黑体" w:cs="Times New Roman"/>
          <w:sz w:val="32"/>
          <w:szCs w:val="32"/>
          <w:lang w:val="en-US" w:eastAsia="zh-CN"/>
        </w:rPr>
        <w:t>3</w:t>
      </w:r>
      <w:r>
        <w:rPr>
          <w:rFonts w:ascii="Times New Roman" w:hAnsi="Times New Roman" w:cs="Times New Roman"/>
          <w:sz w:val="32"/>
          <w:szCs w:val="32"/>
        </w:rPr>
        <w:t>月</w:t>
      </w:r>
      <w:r>
        <w:rPr>
          <w:rFonts w:hint="eastAsia" w:ascii="Times New Roman" w:hAnsi="Times New Roman" w:cs="Times New Roman"/>
          <w:sz w:val="32"/>
          <w:szCs w:val="32"/>
          <w:lang w:val="en-US" w:eastAsia="zh-CN"/>
        </w:rPr>
        <w:t>17</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ascii="宋体" w:hAnsi="宋体" w:eastAsia="宋体"/>
        </w:rPr>
        <w:id w:val="147456036"/>
        <w:docPartObj>
          <w:docPartGallery w:val="Table of Contents"/>
          <w:docPartUnique/>
        </w:docPartObj>
      </w:sdtPr>
      <w:sdtEndPr>
        <w:rPr>
          <w:rFonts w:ascii="宋体" w:hAnsi="宋体" w:eastAsia="宋体"/>
        </w:rPr>
      </w:sdtEndPr>
      <w:sdtContent>
        <w:p>
          <w:pPr>
            <w:jc w:val="center"/>
            <w:rPr>
              <w:rFonts w:ascii="宋体" w:hAnsi="宋体" w:eastAsia="宋体"/>
            </w:rPr>
          </w:pPr>
        </w:p>
        <w:p>
          <w:pPr>
            <w:jc w:val="center"/>
            <w:rPr>
              <w:sz w:val="44"/>
              <w:szCs w:val="44"/>
            </w:rPr>
          </w:pPr>
          <w:r>
            <w:rPr>
              <w:rFonts w:ascii="宋体" w:hAnsi="宋体" w:eastAsia="宋体"/>
              <w:sz w:val="44"/>
              <w:szCs w:val="44"/>
            </w:rPr>
            <w:t>目录</w:t>
          </w:r>
        </w:p>
        <w:p>
          <w:pPr>
            <w:pStyle w:val="20"/>
            <w:tabs>
              <w:tab w:val="right" w:leader="dot" w:pos="8312"/>
            </w:tabs>
            <w:spacing w:line="480" w:lineRule="auto"/>
            <w:rPr>
              <w:rFonts w:ascii="宋体" w:hAnsi="宋体" w:eastAsia="宋体"/>
              <w:sz w:val="21"/>
            </w:rPr>
          </w:pPr>
        </w:p>
        <w:p>
          <w:pPr>
            <w:pStyle w:val="20"/>
            <w:tabs>
              <w:tab w:val="right" w:leader="dot" w:pos="8312"/>
            </w:tabs>
            <w:spacing w:line="480" w:lineRule="auto"/>
            <w:rPr>
              <w:sz w:val="32"/>
              <w:szCs w:val="32"/>
            </w:rPr>
          </w:pPr>
          <w:r>
            <w:rPr>
              <w:rFonts w:ascii="宋体" w:hAnsi="宋体" w:eastAsia="宋体"/>
              <w:sz w:val="21"/>
            </w:rPr>
            <w:fldChar w:fldCharType="begin"/>
          </w:r>
          <w:r>
            <w:rPr>
              <w:rFonts w:ascii="宋体" w:hAnsi="宋体" w:eastAsia="宋体"/>
              <w:sz w:val="21"/>
            </w:rPr>
            <w:instrText xml:space="preserve">TOC \o "1-1" \h \u </w:instrText>
          </w:r>
          <w:r>
            <w:rPr>
              <w:rFonts w:ascii="宋体" w:hAnsi="宋体" w:eastAsia="宋体"/>
              <w:sz w:val="21"/>
            </w:rPr>
            <w:fldChar w:fldCharType="separate"/>
          </w:r>
          <w:r>
            <w:fldChar w:fldCharType="begin"/>
          </w:r>
          <w:r>
            <w:instrText xml:space="preserve"> HYPERLINK \l "_Toc29951" </w:instrText>
          </w:r>
          <w:r>
            <w:fldChar w:fldCharType="separate"/>
          </w:r>
          <w:r>
            <w:rPr>
              <w:rFonts w:hint="eastAsia" w:ascii="Times New Roman" w:hAnsi="Times New Roman" w:eastAsia="宋体" w:cs="Times New Roman"/>
              <w:sz w:val="32"/>
              <w:szCs w:val="32"/>
            </w:rPr>
            <w:t xml:space="preserve">第一章 </w:t>
          </w:r>
          <w:r>
            <w:rPr>
              <w:rFonts w:ascii="Times New Roman" w:hAnsi="Times New Roman" w:eastAsia="宋体" w:cs="Times New Roman"/>
              <w:sz w:val="32"/>
              <w:szCs w:val="32"/>
            </w:rPr>
            <w:t>采购</w:t>
          </w:r>
          <w:r>
            <w:rPr>
              <w:rFonts w:hint="eastAsia" w:ascii="Times New Roman" w:hAnsi="Times New Roman" w:eastAsia="宋体" w:cs="Times New Roman"/>
              <w:sz w:val="32"/>
              <w:szCs w:val="32"/>
            </w:rPr>
            <w:t>公告</w:t>
          </w:r>
          <w:r>
            <w:rPr>
              <w:sz w:val="32"/>
              <w:szCs w:val="32"/>
            </w:rPr>
            <w:tab/>
          </w:r>
          <w:r>
            <w:rPr>
              <w:sz w:val="32"/>
              <w:szCs w:val="32"/>
            </w:rPr>
            <w:fldChar w:fldCharType="begin"/>
          </w:r>
          <w:r>
            <w:rPr>
              <w:sz w:val="32"/>
              <w:szCs w:val="32"/>
            </w:rPr>
            <w:instrText xml:space="preserve"> PAGEREF _Toc29951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20"/>
            <w:tabs>
              <w:tab w:val="right" w:leader="dot" w:pos="8312"/>
            </w:tabs>
            <w:spacing w:line="480" w:lineRule="auto"/>
            <w:rPr>
              <w:sz w:val="32"/>
              <w:szCs w:val="32"/>
            </w:rPr>
          </w:pPr>
          <w:r>
            <w:fldChar w:fldCharType="begin"/>
          </w:r>
          <w:r>
            <w:instrText xml:space="preserve"> HYPERLINK \l "_Toc6302" </w:instrText>
          </w:r>
          <w:r>
            <w:fldChar w:fldCharType="separate"/>
          </w:r>
          <w:r>
            <w:rPr>
              <w:rFonts w:hint="eastAsia" w:ascii="Times New Roman" w:hAnsi="Times New Roman" w:eastAsia="宋体" w:cs="Times New Roman"/>
              <w:sz w:val="32"/>
              <w:szCs w:val="32"/>
            </w:rPr>
            <w:t xml:space="preserve">第二章 </w:t>
          </w:r>
          <w:r>
            <w:rPr>
              <w:rFonts w:ascii="Times New Roman" w:hAnsi="Times New Roman" w:eastAsia="宋体" w:cs="Times New Roman"/>
              <w:sz w:val="32"/>
              <w:szCs w:val="32"/>
            </w:rPr>
            <w:t>供应商须知</w:t>
          </w:r>
          <w:r>
            <w:rPr>
              <w:sz w:val="32"/>
              <w:szCs w:val="32"/>
            </w:rPr>
            <w:tab/>
          </w:r>
          <w:r>
            <w:rPr>
              <w:sz w:val="32"/>
              <w:szCs w:val="32"/>
            </w:rPr>
            <w:fldChar w:fldCharType="begin"/>
          </w:r>
          <w:r>
            <w:rPr>
              <w:sz w:val="32"/>
              <w:szCs w:val="32"/>
            </w:rPr>
            <w:instrText xml:space="preserve"> PAGEREF _Toc6302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0"/>
            <w:tabs>
              <w:tab w:val="right" w:leader="dot" w:pos="8312"/>
            </w:tabs>
            <w:spacing w:line="480" w:lineRule="auto"/>
            <w:rPr>
              <w:sz w:val="32"/>
              <w:szCs w:val="32"/>
            </w:rPr>
          </w:pPr>
          <w:r>
            <w:fldChar w:fldCharType="begin"/>
          </w:r>
          <w:r>
            <w:instrText xml:space="preserve"> HYPERLINK \l "_Toc25374" </w:instrText>
          </w:r>
          <w:r>
            <w:fldChar w:fldCharType="separate"/>
          </w:r>
          <w:r>
            <w:rPr>
              <w:rFonts w:hint="eastAsia" w:ascii="Times New Roman" w:hAnsi="Times New Roman" w:eastAsia="宋体" w:cs="Times New Roman"/>
              <w:sz w:val="32"/>
              <w:szCs w:val="32"/>
            </w:rPr>
            <w:t>第三章 评审办法</w:t>
          </w:r>
          <w:r>
            <w:rPr>
              <w:sz w:val="32"/>
              <w:szCs w:val="32"/>
            </w:rPr>
            <w:tab/>
          </w:r>
          <w:r>
            <w:rPr>
              <w:sz w:val="32"/>
              <w:szCs w:val="32"/>
            </w:rPr>
            <w:fldChar w:fldCharType="begin"/>
          </w:r>
          <w:r>
            <w:rPr>
              <w:sz w:val="32"/>
              <w:szCs w:val="32"/>
            </w:rPr>
            <w:instrText xml:space="preserve"> PAGEREF _Toc25374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20"/>
            <w:tabs>
              <w:tab w:val="right" w:leader="dot" w:pos="8312"/>
            </w:tabs>
            <w:spacing w:line="480" w:lineRule="auto"/>
            <w:rPr>
              <w:sz w:val="32"/>
              <w:szCs w:val="32"/>
            </w:rPr>
          </w:pPr>
          <w:r>
            <w:fldChar w:fldCharType="begin"/>
          </w:r>
          <w:r>
            <w:instrText xml:space="preserve"> HYPERLINK \l "_Toc31418" </w:instrText>
          </w:r>
          <w:r>
            <w:fldChar w:fldCharType="separate"/>
          </w:r>
          <w:r>
            <w:rPr>
              <w:rFonts w:hint="eastAsia" w:ascii="Times New Roman" w:hAnsi="Times New Roman" w:eastAsia="宋体" w:cs="Times New Roman"/>
              <w:sz w:val="32"/>
              <w:szCs w:val="32"/>
            </w:rPr>
            <w:t xml:space="preserve">第四章 </w:t>
          </w:r>
          <w:r>
            <w:rPr>
              <w:rFonts w:ascii="Times New Roman" w:hAnsi="Times New Roman" w:eastAsia="宋体" w:cs="Times New Roman"/>
              <w:sz w:val="32"/>
              <w:szCs w:val="32"/>
            </w:rPr>
            <w:t>合同内容</w:t>
          </w:r>
          <w:r>
            <w:rPr>
              <w:sz w:val="32"/>
              <w:szCs w:val="32"/>
            </w:rPr>
            <w:tab/>
          </w:r>
          <w:r>
            <w:rPr>
              <w:sz w:val="32"/>
              <w:szCs w:val="32"/>
            </w:rPr>
            <w:fldChar w:fldCharType="begin"/>
          </w:r>
          <w:r>
            <w:rPr>
              <w:sz w:val="32"/>
              <w:szCs w:val="32"/>
            </w:rPr>
            <w:instrText xml:space="preserve"> PAGEREF _Toc31418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0"/>
            <w:tabs>
              <w:tab w:val="right" w:leader="dot" w:pos="8312"/>
            </w:tabs>
            <w:spacing w:line="480" w:lineRule="auto"/>
            <w:rPr>
              <w:sz w:val="32"/>
              <w:szCs w:val="32"/>
            </w:rPr>
          </w:pPr>
          <w:r>
            <w:fldChar w:fldCharType="begin"/>
          </w:r>
          <w:r>
            <w:instrText xml:space="preserve"> HYPERLINK \l "_Toc18690" </w:instrText>
          </w:r>
          <w:r>
            <w:fldChar w:fldCharType="separate"/>
          </w:r>
          <w:r>
            <w:rPr>
              <w:rFonts w:hint="eastAsia" w:ascii="Times New Roman" w:hAnsi="Times New Roman" w:eastAsia="宋体" w:cs="Times New Roman"/>
              <w:sz w:val="32"/>
              <w:szCs w:val="32"/>
            </w:rPr>
            <w:t xml:space="preserve">第五章 </w:t>
          </w:r>
          <w:r>
            <w:rPr>
              <w:rFonts w:ascii="Times New Roman" w:hAnsi="Times New Roman" w:eastAsia="宋体" w:cs="Times New Roman"/>
              <w:sz w:val="32"/>
              <w:szCs w:val="32"/>
            </w:rPr>
            <w:t>采购需求及清单</w:t>
          </w:r>
          <w:r>
            <w:rPr>
              <w:sz w:val="32"/>
              <w:szCs w:val="32"/>
            </w:rPr>
            <w:tab/>
          </w:r>
          <w:r>
            <w:rPr>
              <w:sz w:val="32"/>
              <w:szCs w:val="32"/>
            </w:rPr>
            <w:fldChar w:fldCharType="begin"/>
          </w:r>
          <w:r>
            <w:rPr>
              <w:sz w:val="32"/>
              <w:szCs w:val="32"/>
            </w:rPr>
            <w:instrText xml:space="preserve"> PAGEREF _Toc18690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20"/>
            <w:tabs>
              <w:tab w:val="right" w:leader="dot" w:pos="8312"/>
            </w:tabs>
            <w:spacing w:line="480" w:lineRule="auto"/>
          </w:pPr>
          <w:r>
            <w:fldChar w:fldCharType="begin"/>
          </w:r>
          <w:r>
            <w:instrText xml:space="preserve"> HYPERLINK \l "_Toc28547" </w:instrText>
          </w:r>
          <w:r>
            <w:fldChar w:fldCharType="separate"/>
          </w:r>
          <w:r>
            <w:rPr>
              <w:rFonts w:hint="eastAsia" w:ascii="Times New Roman" w:hAnsi="Times New Roman" w:eastAsia="宋体" w:cs="Times New Roman"/>
              <w:sz w:val="32"/>
              <w:szCs w:val="32"/>
            </w:rPr>
            <w:t xml:space="preserve">第六章 </w:t>
          </w:r>
          <w:r>
            <w:rPr>
              <w:rFonts w:ascii="Times New Roman" w:hAnsi="Times New Roman" w:eastAsia="宋体" w:cs="Times New Roman"/>
              <w:sz w:val="32"/>
              <w:szCs w:val="32"/>
            </w:rPr>
            <w:t>响应文件格式</w:t>
          </w:r>
          <w:r>
            <w:rPr>
              <w:sz w:val="32"/>
              <w:szCs w:val="32"/>
            </w:rPr>
            <w:tab/>
          </w:r>
          <w:r>
            <w:rPr>
              <w:sz w:val="32"/>
              <w:szCs w:val="32"/>
            </w:rPr>
            <w:fldChar w:fldCharType="begin"/>
          </w:r>
          <w:r>
            <w:rPr>
              <w:sz w:val="32"/>
              <w:szCs w:val="32"/>
            </w:rPr>
            <w:instrText xml:space="preserve"> PAGEREF _Toc28547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20"/>
            <w:tabs>
              <w:tab w:val="right" w:leader="dot" w:pos="8312"/>
            </w:tabs>
            <w:spacing w:line="360" w:lineRule="auto"/>
          </w:pP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0"/>
          <w:numId w:val="3"/>
        </w:numPr>
        <w:spacing w:before="312" w:after="312"/>
        <w:rPr>
          <w:rFonts w:ascii="Times New Roman" w:hAnsi="Times New Roman" w:eastAsia="宋体" w:cs="Times New Roman"/>
        </w:rPr>
      </w:pPr>
      <w:bookmarkStart w:id="0" w:name="_Toc29951"/>
      <w:bookmarkStart w:id="1" w:name="_Toc16113_WPSOffice_Level1"/>
      <w:r>
        <w:rPr>
          <w:rFonts w:ascii="Times New Roman" w:hAnsi="Times New Roman" w:eastAsia="宋体" w:cs="Times New Roman"/>
        </w:rPr>
        <w:t>采购</w:t>
      </w:r>
      <w:bookmarkEnd w:id="0"/>
      <w:bookmarkEnd w:id="1"/>
      <w:r>
        <w:rPr>
          <w:rFonts w:hint="eastAsia" w:ascii="Times New Roman" w:hAnsi="Times New Roman" w:eastAsia="宋体" w:cs="Times New Roman"/>
        </w:rPr>
        <w:t>公告</w:t>
      </w:r>
    </w:p>
    <w:p>
      <w:pPr>
        <w:keepNext/>
        <w:keepLines/>
        <w:numPr>
          <w:ilvl w:val="0"/>
          <w:numId w:val="4"/>
        </w:numPr>
        <w:snapToGrid w:val="0"/>
        <w:spacing w:before="120" w:after="120" w:line="480" w:lineRule="auto"/>
        <w:ind w:firstLine="0"/>
        <w:outlineLvl w:val="1"/>
        <w:rPr>
          <w:rFonts w:ascii="Times New Roman" w:hAnsi="Times New Roman" w:eastAsia="黑体" w:cs="Times New Roman"/>
          <w:b/>
          <w:sz w:val="22"/>
          <w:szCs w:val="15"/>
        </w:rPr>
      </w:pPr>
      <w:r>
        <w:rPr>
          <w:rFonts w:ascii="Times New Roman" w:hAnsi="Times New Roman" w:eastAsia="黑体" w:cs="Times New Roman"/>
          <w:b/>
          <w:sz w:val="22"/>
          <w:szCs w:val="15"/>
        </w:rPr>
        <w:t>项目简介</w:t>
      </w:r>
    </w:p>
    <w:p>
      <w:pPr>
        <w:numPr>
          <w:ilvl w:val="0"/>
          <w:numId w:val="0"/>
        </w:numPr>
        <w:snapToGrid w:val="0"/>
        <w:spacing w:line="480" w:lineRule="auto"/>
        <w:ind w:leftChars="200"/>
        <w:rPr>
          <w:rFonts w:hint="eastAsia" w:ascii="宋体" w:hAnsi="宋体" w:cs="宋体"/>
          <w:bCs/>
          <w:szCs w:val="21"/>
          <w:lang w:eastAsia="zh-CN"/>
        </w:rPr>
      </w:pPr>
      <w:r>
        <w:rPr>
          <w:rFonts w:hint="eastAsia" w:ascii="Times New Roman" w:hAnsi="Times New Roman" w:cs="Times New Roman"/>
          <w:szCs w:val="22"/>
          <w:lang w:val="en-US" w:eastAsia="zh-CN"/>
        </w:rPr>
        <w:t>1.1</w:t>
      </w:r>
      <w:r>
        <w:rPr>
          <w:rFonts w:ascii="Times New Roman" w:hAnsi="Times New Roman" w:cs="Times New Roman"/>
          <w:szCs w:val="22"/>
        </w:rPr>
        <w:t>项目名称：</w:t>
      </w:r>
      <w:r>
        <w:rPr>
          <w:rFonts w:hint="eastAsia" w:ascii="Times New Roman" w:hAnsi="Times New Roman" w:cs="Times New Roman"/>
          <w:szCs w:val="22"/>
          <w:lang w:val="en-US" w:eastAsia="zh-CN"/>
        </w:rPr>
        <w:t>2022年度安徽省交运集团有限公司</w:t>
      </w:r>
      <w:r>
        <w:rPr>
          <w:rFonts w:hint="eastAsia" w:ascii="宋体" w:hAnsi="宋体" w:cs="宋体"/>
          <w:bCs/>
          <w:szCs w:val="21"/>
        </w:rPr>
        <w:t>相关税务咨询服务</w:t>
      </w:r>
    </w:p>
    <w:p>
      <w:pPr>
        <w:snapToGrid w:val="0"/>
        <w:spacing w:line="480" w:lineRule="auto"/>
        <w:rPr>
          <w:rFonts w:ascii="Times New Roman" w:hAnsi="Times New Roman" w:cs="Times New Roman"/>
          <w:szCs w:val="22"/>
        </w:rPr>
      </w:pPr>
      <w:r>
        <w:rPr>
          <w:rFonts w:hint="eastAsia" w:ascii="Times New Roman" w:hAnsi="Times New Roman" w:cs="Times New Roman"/>
          <w:szCs w:val="22"/>
          <w:lang w:val="en-US" w:eastAsia="zh-CN"/>
        </w:rPr>
        <w:t xml:space="preserve">                 2022年度</w:t>
      </w:r>
      <w:r>
        <w:rPr>
          <w:rFonts w:hint="eastAsia" w:ascii="Times New Roman" w:hAnsi="Times New Roman" w:cs="Times New Roman"/>
          <w:szCs w:val="22"/>
        </w:rPr>
        <w:t>安徽</w:t>
      </w:r>
      <w:r>
        <w:rPr>
          <w:rFonts w:hint="eastAsia" w:ascii="宋体" w:hAnsi="宋体" w:cs="宋体"/>
          <w:bCs/>
          <w:szCs w:val="21"/>
        </w:rPr>
        <w:t>皖运保险代理有限公司相关税务咨询服务</w:t>
      </w:r>
    </w:p>
    <w:p>
      <w:pPr>
        <w:snapToGrid w:val="0"/>
        <w:spacing w:line="480" w:lineRule="auto"/>
        <w:ind w:firstLine="420" w:firstLineChars="200"/>
        <w:rPr>
          <w:rFonts w:hint="eastAsia" w:ascii="宋体" w:hAnsi="宋体" w:cs="宋体"/>
          <w:bCs/>
          <w:szCs w:val="21"/>
        </w:rPr>
      </w:pPr>
      <w:r>
        <w:rPr>
          <w:rFonts w:ascii="Times New Roman" w:hAnsi="Times New Roman" w:cs="Times New Roman"/>
          <w:szCs w:val="22"/>
        </w:rPr>
        <w:t>1.2 采 购 人：</w:t>
      </w:r>
      <w:r>
        <w:rPr>
          <w:rFonts w:hint="eastAsia" w:ascii="Times New Roman" w:hAnsi="Times New Roman" w:cs="Times New Roman"/>
          <w:szCs w:val="22"/>
        </w:rPr>
        <w:t>安徽</w:t>
      </w:r>
      <w:r>
        <w:rPr>
          <w:rFonts w:hint="eastAsia" w:ascii="宋体" w:hAnsi="宋体" w:cs="宋体"/>
          <w:bCs/>
          <w:szCs w:val="21"/>
        </w:rPr>
        <w:t>皖运保险代理有限公司</w:t>
      </w:r>
    </w:p>
    <w:p>
      <w:pPr>
        <w:snapToGrid w:val="0"/>
        <w:spacing w:line="480" w:lineRule="auto"/>
        <w:ind w:firstLine="420" w:firstLineChars="200"/>
        <w:rPr>
          <w:szCs w:val="21"/>
        </w:rPr>
      </w:pPr>
      <w:r>
        <w:rPr>
          <w:rFonts w:ascii="Times New Roman" w:hAnsi="Times New Roman" w:cs="Times New Roman"/>
          <w:szCs w:val="22"/>
        </w:rPr>
        <w:t>1.3 项目概况：</w:t>
      </w:r>
      <w:r>
        <w:rPr>
          <w:rFonts w:hint="eastAsia"/>
          <w:szCs w:val="21"/>
        </w:rPr>
        <w:t>根据集团公司相关规定，在国家减税降费政策的大背景下，新的税收政策及措施在不停的发布与更新中</w:t>
      </w:r>
      <w:r>
        <w:rPr>
          <w:rFonts w:hint="eastAsia" w:ascii="宋体" w:hAnsi="宋体"/>
          <w:szCs w:val="21"/>
        </w:rPr>
        <w:t>，</w:t>
      </w:r>
      <w:r>
        <w:rPr>
          <w:rFonts w:hint="eastAsia"/>
          <w:szCs w:val="21"/>
        </w:rPr>
        <w:t>对税收政策的把握和理解更需要第三方咨询机构加以专业分析，因此需要选聘一家大型税务咨询机构进行税务咨询服务。</w:t>
      </w:r>
    </w:p>
    <w:p>
      <w:pPr>
        <w:keepNext/>
        <w:keepLines/>
        <w:numPr>
          <w:ilvl w:val="0"/>
          <w:numId w:val="4"/>
        </w:numPr>
        <w:snapToGrid w:val="0"/>
        <w:spacing w:before="120" w:after="120" w:line="480" w:lineRule="auto"/>
        <w:ind w:firstLine="403"/>
        <w:outlineLvl w:val="1"/>
        <w:rPr>
          <w:rFonts w:ascii="Times New Roman" w:hAnsi="Times New Roman" w:eastAsia="黑体" w:cs="Times New Roman"/>
          <w:b/>
          <w:sz w:val="22"/>
          <w:szCs w:val="15"/>
        </w:rPr>
      </w:pPr>
      <w:r>
        <w:rPr>
          <w:rFonts w:ascii="Times New Roman" w:hAnsi="Times New Roman" w:eastAsia="黑体" w:cs="Times New Roman"/>
          <w:b/>
          <w:sz w:val="22"/>
          <w:szCs w:val="15"/>
        </w:rPr>
        <w:t>采购说明</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2.1 采购方式：</w:t>
      </w:r>
      <w:r>
        <w:rPr>
          <w:rFonts w:hint="eastAsia" w:ascii="Times New Roman" w:hAnsi="Times New Roman" w:cs="Times New Roman"/>
          <w:szCs w:val="22"/>
        </w:rPr>
        <w:t>公开</w:t>
      </w:r>
      <w:r>
        <w:rPr>
          <w:rFonts w:ascii="Times New Roman" w:hAnsi="Times New Roman" w:cs="Times New Roman"/>
          <w:szCs w:val="22"/>
        </w:rPr>
        <w:t>询比采购</w:t>
      </w:r>
      <w:r>
        <w:rPr>
          <w:rFonts w:hint="eastAsia" w:ascii="Times New Roman" w:hAnsi="Times New Roman" w:cs="Times New Roman"/>
          <w:szCs w:val="22"/>
        </w:rPr>
        <w:t>。</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2.2 资金来源及比例：企业自筹</w:t>
      </w:r>
      <w:r>
        <w:rPr>
          <w:rFonts w:hint="eastAsia" w:ascii="Times New Roman" w:hAnsi="Times New Roman" w:cs="Times New Roman"/>
          <w:szCs w:val="22"/>
        </w:rPr>
        <w:t>。</w:t>
      </w:r>
    </w:p>
    <w:p>
      <w:pPr>
        <w:snapToGrid w:val="0"/>
        <w:spacing w:line="480" w:lineRule="auto"/>
        <w:ind w:firstLine="420" w:firstLineChars="200"/>
        <w:rPr>
          <w:rFonts w:ascii="Times New Roman" w:hAnsi="Times New Roman" w:cs="Times New Roman"/>
          <w:szCs w:val="22"/>
        </w:rPr>
      </w:pPr>
      <w:r>
        <w:rPr>
          <w:rFonts w:hint="eastAsia" w:ascii="Times New Roman" w:hAnsi="Times New Roman" w:cs="Times New Roman"/>
          <w:szCs w:val="22"/>
        </w:rPr>
        <w:t xml:space="preserve">2.3 </w:t>
      </w:r>
      <w:r>
        <w:rPr>
          <w:rFonts w:ascii="Times New Roman" w:hAnsi="Times New Roman" w:cs="Times New Roman"/>
          <w:szCs w:val="22"/>
        </w:rPr>
        <w:t>合同包划分：</w:t>
      </w:r>
      <w:r>
        <w:rPr>
          <w:rFonts w:hint="eastAsia" w:ascii="宋体" w:hAnsi="宋体"/>
          <w:szCs w:val="28"/>
        </w:rPr>
        <w:t>壹个服务包。</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4</w:t>
      </w:r>
      <w:r>
        <w:rPr>
          <w:rFonts w:ascii="Times New Roman" w:hAnsi="Times New Roman" w:cs="Times New Roman"/>
          <w:szCs w:val="22"/>
        </w:rPr>
        <w:t xml:space="preserve"> 最高限价：</w:t>
      </w:r>
      <w:r>
        <w:rPr>
          <w:rFonts w:hint="eastAsia" w:ascii="宋体" w:hAnsi="宋体"/>
          <w:szCs w:val="28"/>
        </w:rPr>
        <w:t>壹拾伍万元（RMB：</w:t>
      </w:r>
      <w:r>
        <w:rPr>
          <w:rFonts w:ascii="宋体" w:hAnsi="宋体"/>
          <w:szCs w:val="28"/>
        </w:rPr>
        <w:t>15</w:t>
      </w:r>
      <w:r>
        <w:rPr>
          <w:rFonts w:hint="eastAsia" w:ascii="宋体" w:hAnsi="宋体"/>
          <w:szCs w:val="28"/>
        </w:rPr>
        <w:t>0000.00元）。</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计划服务期：服务期</w:t>
      </w:r>
      <w:r>
        <w:rPr>
          <w:rFonts w:hint="eastAsia" w:ascii="Times New Roman" w:hAnsi="Times New Roman" w:cs="Times New Roman"/>
          <w:szCs w:val="22"/>
          <w:lang w:val="en-US" w:eastAsia="zh-CN"/>
        </w:rPr>
        <w:t>1年</w:t>
      </w:r>
      <w:r>
        <w:rPr>
          <w:rFonts w:hint="eastAsia" w:ascii="Times New Roman" w:hAnsi="Times New Roman" w:cs="Times New Roman"/>
          <w:szCs w:val="22"/>
          <w:lang w:eastAsia="zh-CN"/>
        </w:rPr>
        <w:t>，</w:t>
      </w:r>
      <w:r>
        <w:rPr>
          <w:rFonts w:ascii="Times New Roman" w:hAnsi="Times New Roman" w:cs="Times New Roman"/>
          <w:szCs w:val="22"/>
        </w:rPr>
        <w:t>实际</w:t>
      </w:r>
      <w:r>
        <w:rPr>
          <w:rFonts w:hint="eastAsia" w:ascii="Times New Roman" w:hAnsi="Times New Roman" w:cs="Times New Roman"/>
          <w:szCs w:val="22"/>
        </w:rPr>
        <w:t>服务日期</w:t>
      </w:r>
      <w:r>
        <w:rPr>
          <w:rFonts w:ascii="Times New Roman" w:hAnsi="Times New Roman" w:cs="Times New Roman"/>
          <w:szCs w:val="22"/>
        </w:rPr>
        <w:t>以</w:t>
      </w:r>
      <w:r>
        <w:rPr>
          <w:rFonts w:hint="eastAsia" w:ascii="Times New Roman" w:hAnsi="Times New Roman" w:cs="Times New Roman"/>
          <w:szCs w:val="22"/>
        </w:rPr>
        <w:t>与</w:t>
      </w:r>
      <w:r>
        <w:rPr>
          <w:rFonts w:ascii="Times New Roman" w:hAnsi="Times New Roman" w:cs="Times New Roman"/>
          <w:szCs w:val="22"/>
        </w:rPr>
        <w:t>采购人</w:t>
      </w:r>
      <w:r>
        <w:rPr>
          <w:rFonts w:hint="eastAsia" w:ascii="Times New Roman" w:hAnsi="Times New Roman" w:cs="Times New Roman"/>
          <w:szCs w:val="22"/>
        </w:rPr>
        <w:t>签订服务合同的时间为</w:t>
      </w:r>
      <w:r>
        <w:rPr>
          <w:rFonts w:ascii="Times New Roman" w:hAnsi="Times New Roman" w:cs="Times New Roman"/>
          <w:szCs w:val="22"/>
        </w:rPr>
        <w:t>准。</w:t>
      </w:r>
    </w:p>
    <w:p>
      <w:pPr>
        <w:pStyle w:val="4"/>
        <w:snapToGrid w:val="0"/>
        <w:spacing w:before="120" w:after="120" w:line="48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Start w:id="196" w:name="_GoBack"/>
      <w:bookmarkEnd w:id="196"/>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①</w:t>
      </w:r>
      <w:r>
        <w:rPr>
          <w:szCs w:val="21"/>
        </w:rPr>
        <w:t>须是安徽省内具有独立法人资格并取得税务机关行政登记的税务师事务所</w:t>
      </w:r>
      <w:r>
        <w:rPr>
          <w:rFonts w:hint="eastAsia" w:ascii="Times New Roman" w:hAnsi="Times New Roman" w:cs="Times New Roman"/>
          <w:szCs w:val="22"/>
        </w:rPr>
        <w:t>；</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②</w:t>
      </w:r>
      <w:r>
        <w:rPr>
          <w:szCs w:val="21"/>
        </w:rPr>
        <w:t>投标人应属于中国注册税务师协会认定的</w:t>
      </w:r>
      <w:r>
        <w:rPr>
          <w:rFonts w:hint="eastAsia"/>
          <w:szCs w:val="21"/>
        </w:rPr>
        <w:t>A</w:t>
      </w:r>
      <w:r>
        <w:rPr>
          <w:szCs w:val="21"/>
        </w:rPr>
        <w:t>AA级及以上的税务师事务所（以中国注册税务师协会官方网站公布的最新认定结果为准）</w:t>
      </w:r>
      <w:r>
        <w:rPr>
          <w:rFonts w:hint="eastAsia" w:ascii="Times New Roman" w:hAnsi="Times New Roman" w:cs="Times New Roman"/>
          <w:szCs w:val="22"/>
        </w:rPr>
        <w:t>。</w:t>
      </w:r>
    </w:p>
    <w:p>
      <w:pPr>
        <w:numPr>
          <w:ilvl w:val="0"/>
          <w:numId w:val="5"/>
        </w:num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信誉要求最低要求：</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480" w:lineRule="auto"/>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80" w:lineRule="auto"/>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80" w:lineRule="auto"/>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80" w:lineRule="auto"/>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w:t>
      </w:r>
      <w:r>
        <w:rPr>
          <w:rFonts w:hint="eastAsia" w:ascii="Times New Roman" w:hAnsi="Times New Roman" w:cs="Times New Roman"/>
          <w:szCs w:val="22"/>
        </w:rPr>
        <w:t>负责人未</w:t>
      </w:r>
      <w:r>
        <w:rPr>
          <w:rFonts w:ascii="Times New Roman" w:hAnsi="Times New Roman" w:cs="Times New Roman"/>
          <w:szCs w:val="22"/>
        </w:rPr>
        <w:t>有行贿犯罪行为。</w:t>
      </w:r>
    </w:p>
    <w:p>
      <w:pPr>
        <w:snapToGrid w:val="0"/>
        <w:spacing w:line="48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80" w:lineRule="auto"/>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numPr>
          <w:ilvl w:val="0"/>
          <w:numId w:val="4"/>
        </w:numPr>
        <w:snapToGrid w:val="0"/>
        <w:spacing w:before="120" w:after="120" w:line="48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p>
    <w:p>
      <w:pPr>
        <w:pStyle w:val="22"/>
        <w:tabs>
          <w:tab w:val="left" w:pos="850"/>
        </w:tabs>
        <w:spacing w:before="147" w:line="480" w:lineRule="auto"/>
        <w:ind w:right="106"/>
        <w:jc w:val="both"/>
        <w:rPr>
          <w:rFonts w:ascii="Times New Roman" w:hAnsi="Times New Roman" w:cs="Times New Roman"/>
          <w:szCs w:val="22"/>
        </w:rPr>
      </w:pPr>
      <w:r>
        <w:rPr>
          <w:rFonts w:hint="eastAsia" w:ascii="宋体" w:hAnsi="宋体" w:eastAsia="宋体" w:cs="宋体"/>
          <w:i w:val="0"/>
          <w:iCs w:val="0"/>
          <w:caps w:val="0"/>
          <w:color w:val="333333"/>
          <w:spacing w:val="0"/>
          <w:sz w:val="21"/>
          <w:szCs w:val="21"/>
        </w:rPr>
        <w:t>供应商应在递交响应文件的截止时间前登录安徽交运集团网站（http://www.ahjyjt.com.cn/），选择所参加的合同包，自行下载询比文件及相关资料</w:t>
      </w:r>
      <w:r>
        <w:rPr>
          <w:rFonts w:ascii="Times New Roman" w:hAnsi="Times New Roman" w:cs="Times New Roman"/>
          <w:szCs w:val="22"/>
        </w:rPr>
        <w:t>。</w:t>
      </w:r>
    </w:p>
    <w:p>
      <w:pPr>
        <w:pStyle w:val="4"/>
        <w:numPr>
          <w:ilvl w:val="0"/>
          <w:numId w:val="4"/>
        </w:numPr>
        <w:snapToGrid w:val="0"/>
        <w:spacing w:before="120" w:after="120" w:line="48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lang w:val="en-US" w:eastAsia="zh-CN"/>
        </w:rPr>
        <w:t>3</w:t>
      </w:r>
      <w:r>
        <w:rPr>
          <w:rFonts w:ascii="Times New Roman" w:hAnsi="Times New Roman" w:cs="Times New Roman"/>
          <w:szCs w:val="22"/>
        </w:rPr>
        <w:t>月</w:t>
      </w:r>
      <w:r>
        <w:rPr>
          <w:rFonts w:hint="eastAsia" w:ascii="Times New Roman" w:hAnsi="Times New Roman" w:cs="Times New Roman"/>
          <w:szCs w:val="22"/>
          <w:u w:val="single"/>
          <w:lang w:val="en-US" w:eastAsia="zh-CN"/>
        </w:rPr>
        <w:t>25</w:t>
      </w:r>
      <w:r>
        <w:rPr>
          <w:rFonts w:ascii="Times New Roman" w:hAnsi="Times New Roman" w:cs="Times New Roman"/>
          <w:szCs w:val="22"/>
        </w:rPr>
        <w:t>日</w:t>
      </w:r>
      <w:r>
        <w:rPr>
          <w:rFonts w:hint="eastAsia" w:ascii="Times New Roman" w:hAnsi="Times New Roman" w:cs="Times New Roman"/>
          <w:szCs w:val="22"/>
          <w:u w:val="single"/>
        </w:rPr>
        <w:t>10</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分，供应商的法定代表人或其授权代理人应于递交的截止时间前将响应文件</w:t>
      </w:r>
      <w:r>
        <w:rPr>
          <w:rFonts w:hint="eastAsia" w:ascii="Times New Roman" w:hAnsi="Times New Roman" w:cs="Times New Roman"/>
          <w:szCs w:val="22"/>
        </w:rPr>
        <w:t>递交至</w:t>
      </w:r>
      <w:r>
        <w:rPr>
          <w:rFonts w:ascii="Times New Roman" w:hAnsi="Times New Roman" w:cs="Times New Roman"/>
          <w:szCs w:val="22"/>
          <w:u w:val="single"/>
        </w:rPr>
        <w:t>合肥市</w:t>
      </w:r>
      <w:r>
        <w:rPr>
          <w:rFonts w:hint="eastAsia" w:ascii="Times New Roman" w:hAnsi="Times New Roman" w:cs="Times New Roman"/>
          <w:szCs w:val="22"/>
          <w:u w:val="single"/>
        </w:rPr>
        <w:t>瑶海区</w:t>
      </w:r>
      <w:r>
        <w:rPr>
          <w:rFonts w:ascii="Times New Roman" w:hAnsi="Times New Roman" w:cs="Times New Roman"/>
          <w:szCs w:val="22"/>
          <w:u w:val="single"/>
        </w:rPr>
        <w:t>胜利路35号三楼会议室</w:t>
      </w:r>
      <w:r>
        <w:rPr>
          <w:rFonts w:ascii="Times New Roman" w:hAnsi="Times New Roman" w:cs="Times New Roman"/>
          <w:szCs w:val="22"/>
        </w:rPr>
        <w:t>。</w:t>
      </w:r>
    </w:p>
    <w:p>
      <w:pPr>
        <w:pStyle w:val="4"/>
        <w:numPr>
          <w:ilvl w:val="0"/>
          <w:numId w:val="4"/>
        </w:numPr>
        <w:snapToGrid w:val="0"/>
        <w:spacing w:before="120" w:after="120" w:line="48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响应文件启封</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hAnsi="Times New Roman" w:cs="Times New Roman"/>
          <w:szCs w:val="22"/>
          <w:u w:val="single"/>
        </w:rPr>
        <w:t>合肥市</w:t>
      </w:r>
      <w:r>
        <w:rPr>
          <w:rFonts w:hint="eastAsia" w:ascii="Times New Roman" w:hAnsi="Times New Roman" w:cs="Times New Roman"/>
          <w:szCs w:val="22"/>
          <w:u w:val="single"/>
        </w:rPr>
        <w:t>瑶海区</w:t>
      </w:r>
      <w:r>
        <w:rPr>
          <w:rFonts w:ascii="Times New Roman" w:hAnsi="Times New Roman" w:cs="Times New Roman"/>
          <w:szCs w:val="22"/>
          <w:u w:val="single"/>
        </w:rPr>
        <w:t>胜利路35号三楼会议室</w:t>
      </w:r>
      <w:r>
        <w:rPr>
          <w:rFonts w:ascii="Times New Roman" w:hAnsi="Times New Roman" w:cs="Times New Roman"/>
          <w:szCs w:val="22"/>
        </w:rPr>
        <w:t>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numPr>
          <w:ilvl w:val="0"/>
          <w:numId w:val="4"/>
        </w:numPr>
        <w:snapToGrid w:val="0"/>
        <w:spacing w:before="120" w:after="120" w:line="360" w:lineRule="auto"/>
        <w:ind w:left="17" w:leftChars="0" w:firstLine="403" w:firstLineChars="0"/>
      </w:pPr>
      <w:r>
        <w:rPr>
          <w:rFonts w:hint="eastAsia" w:ascii="Times New Roman" w:hAnsi="Times New Roman" w:eastAsia="黑体" w:cs="Times New Roman"/>
          <w:bCs w:val="0"/>
          <w:sz w:val="22"/>
          <w:szCs w:val="15"/>
        </w:rPr>
        <w:t>响应保证金</w:t>
      </w:r>
    </w:p>
    <w:p>
      <w:pPr>
        <w:widowControl/>
        <w:numPr>
          <w:ilvl w:val="255"/>
          <w:numId w:val="0"/>
        </w:numPr>
        <w:snapToGrid w:val="0"/>
        <w:spacing w:line="360" w:lineRule="auto"/>
        <w:ind w:firstLine="420" w:firstLineChars="200"/>
        <w:rPr>
          <w:rFonts w:ascii="Times New Roman" w:hAnsi="Times New Roman"/>
        </w:rPr>
      </w:pPr>
      <w:r>
        <w:rPr>
          <w:rFonts w:hint="eastAsia" w:ascii="Times New Roman" w:hAnsi="Times New Roman"/>
        </w:rPr>
        <w:t>无</w:t>
      </w:r>
    </w:p>
    <w:p>
      <w:pPr>
        <w:pStyle w:val="4"/>
        <w:keepNext w:val="0"/>
        <w:keepLines w:val="0"/>
        <w:widowControl/>
        <w:numPr>
          <w:ilvl w:val="0"/>
          <w:numId w:val="4"/>
        </w:numPr>
        <w:spacing w:before="120" w:after="120" w:line="360" w:lineRule="auto"/>
        <w:ind w:left="17" w:leftChars="0" w:firstLine="403" w:firstLineChars="0"/>
        <w:rPr>
          <w:rStyle w:val="17"/>
          <w:rFonts w:hint="eastAsia" w:ascii="黑体" w:hAnsi="黑体" w:eastAsia="黑体" w:cs="黑体"/>
          <w:b/>
          <w:bCs/>
          <w:color w:val="333333"/>
          <w:sz w:val="22"/>
          <w:szCs w:val="22"/>
        </w:rPr>
      </w:pPr>
      <w:r>
        <w:rPr>
          <w:rStyle w:val="17"/>
          <w:rFonts w:hint="eastAsia" w:ascii="黑体" w:hAnsi="黑体" w:eastAsia="黑体" w:cs="黑体"/>
          <w:b/>
          <w:bCs/>
          <w:color w:val="333333"/>
          <w:sz w:val="22"/>
          <w:szCs w:val="22"/>
        </w:rPr>
        <w:t>发布公告的媒介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rPr>
          <w:rFonts w:ascii="Times New Roman" w:hAnsi="Times New Roman" w:eastAsia="黑体" w:cs="Times New Roman"/>
          <w:bCs w:val="0"/>
          <w:sz w:val="22"/>
          <w:szCs w:val="15"/>
        </w:rPr>
      </w:pPr>
      <w:r>
        <w:rPr>
          <w:rFonts w:hint="eastAsia" w:ascii="宋体" w:hAnsi="宋体" w:eastAsia="宋体" w:cs="宋体"/>
          <w:i w:val="0"/>
          <w:iCs w:val="0"/>
          <w:caps w:val="0"/>
          <w:color w:val="333333"/>
          <w:spacing w:val="0"/>
          <w:sz w:val="21"/>
          <w:szCs w:val="21"/>
        </w:rPr>
        <w:t>本次采购公告在安徽交运集团网站（http://www.ahjyjt.com.cn/）上发布。</w:t>
      </w:r>
    </w:p>
    <w:p>
      <w:pPr>
        <w:pStyle w:val="4"/>
        <w:widowControl/>
        <w:numPr>
          <w:ilvl w:val="255"/>
          <w:numId w:val="0"/>
        </w:numPr>
        <w:snapToGrid w:val="0"/>
        <w:spacing w:before="120" w:after="120" w:line="360" w:lineRule="auto"/>
        <w:ind w:left="420"/>
      </w:pPr>
      <w:r>
        <w:rPr>
          <w:rFonts w:hint="eastAsia" w:ascii="Times New Roman" w:hAnsi="Times New Roman" w:eastAsia="黑体" w:cs="Times New Roman"/>
          <w:bCs w:val="0"/>
          <w:sz w:val="22"/>
          <w:szCs w:val="15"/>
        </w:rPr>
        <w:t xml:space="preserve">9. </w:t>
      </w:r>
      <w:r>
        <w:rPr>
          <w:rFonts w:ascii="Times New Roman" w:hAnsi="Times New Roman" w:eastAsia="黑体" w:cs="Times New Roman"/>
          <w:bCs w:val="0"/>
          <w:sz w:val="22"/>
          <w:szCs w:val="15"/>
        </w:rPr>
        <w:t>采购人</w:t>
      </w:r>
      <w:r>
        <w:rPr>
          <w:rFonts w:hint="eastAsia" w:ascii="Times New Roman" w:hAnsi="Times New Roman" w:eastAsia="黑体" w:cs="Times New Roman"/>
          <w:bCs w:val="0"/>
          <w:sz w:val="22"/>
          <w:szCs w:val="15"/>
        </w:rPr>
        <w:t>联系</w:t>
      </w:r>
      <w:r>
        <w:rPr>
          <w:rFonts w:ascii="Times New Roman" w:hAnsi="Times New Roman" w:eastAsia="黑体" w:cs="Times New Roman"/>
          <w:bCs w:val="0"/>
          <w:sz w:val="22"/>
          <w:szCs w:val="15"/>
        </w:rPr>
        <w:t>方式</w:t>
      </w:r>
    </w:p>
    <w:p>
      <w:pPr>
        <w:spacing w:line="480" w:lineRule="auto"/>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rPr>
        <w:t>安徽皖运保险代理有限公司</w:t>
      </w:r>
    </w:p>
    <w:p>
      <w:pPr>
        <w:spacing w:line="480" w:lineRule="auto"/>
        <w:ind w:firstLine="420" w:firstLineChars="200"/>
        <w:rPr>
          <w:rFonts w:ascii="Times New Roman" w:hAnsi="Times New Roman" w:cs="Times New Roman"/>
          <w:szCs w:val="22"/>
        </w:rPr>
      </w:pPr>
      <w:r>
        <w:rPr>
          <w:rFonts w:ascii="Times New Roman" w:hAnsi="Times New Roman" w:cs="Times New Roman"/>
          <w:szCs w:val="22"/>
        </w:rPr>
        <w:t>地    址：合肥市</w:t>
      </w:r>
      <w:r>
        <w:rPr>
          <w:rFonts w:hint="eastAsia" w:ascii="Times New Roman" w:hAnsi="Times New Roman" w:cs="Times New Roman"/>
          <w:szCs w:val="22"/>
        </w:rPr>
        <w:t>瑶海区</w:t>
      </w:r>
      <w:r>
        <w:rPr>
          <w:rFonts w:ascii="Times New Roman" w:hAnsi="Times New Roman" w:cs="Times New Roman"/>
          <w:szCs w:val="22"/>
        </w:rPr>
        <w:t>胜利路35号</w:t>
      </w:r>
      <w:r>
        <w:rPr>
          <w:rFonts w:hint="eastAsia" w:ascii="Times New Roman" w:hAnsi="Times New Roman" w:cs="Times New Roman"/>
          <w:szCs w:val="22"/>
        </w:rPr>
        <w:t>交通饭店3楼</w:t>
      </w:r>
    </w:p>
    <w:p>
      <w:pPr>
        <w:spacing w:line="480" w:lineRule="auto"/>
        <w:ind w:firstLine="420" w:firstLineChars="200"/>
        <w:rPr>
          <w:rFonts w:ascii="Times New Roman" w:hAnsi="Times New Roman" w:cs="Times New Roman"/>
          <w:szCs w:val="22"/>
        </w:rPr>
      </w:pPr>
      <w:r>
        <w:rPr>
          <w:rFonts w:ascii="Times New Roman" w:hAnsi="Times New Roman" w:cs="Times New Roman"/>
          <w:szCs w:val="22"/>
        </w:rPr>
        <w:t>联 系 人：</w:t>
      </w:r>
      <w:r>
        <w:rPr>
          <w:rFonts w:hint="eastAsia" w:ascii="Times New Roman" w:hAnsi="Times New Roman" w:cs="Times New Roman"/>
          <w:szCs w:val="22"/>
        </w:rPr>
        <w:t>杜部长</w:t>
      </w:r>
    </w:p>
    <w:p>
      <w:pPr>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rPr>
        <w:t>0551-64298612</w:t>
      </w:r>
    </w:p>
    <w:p>
      <w:pPr>
        <w:spacing w:line="480" w:lineRule="auto"/>
        <w:ind w:firstLine="420" w:firstLineChars="200"/>
        <w:rPr>
          <w:rFonts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"mailto:anhuiwanyun@163.com" \h </w:instrText>
      </w:r>
      <w:r>
        <w:fldChar w:fldCharType="separate"/>
      </w:r>
      <w:r>
        <w:rPr>
          <w:rFonts w:ascii="Cambria" w:hAnsi="Cambria" w:eastAsia="Times New Roman"/>
          <w:spacing w:val="8"/>
          <w:sz w:val="22"/>
          <w:szCs w:val="22"/>
        </w:rPr>
        <w:t>anhuiwanyun@163.com</w:t>
      </w:r>
      <w:r>
        <w:rPr>
          <w:rFonts w:ascii="Cambria" w:hAnsi="Cambria" w:eastAsia="Times New Roman"/>
          <w:spacing w:val="8"/>
          <w:sz w:val="22"/>
          <w:szCs w:val="22"/>
        </w:rPr>
        <w:fldChar w:fldCharType="end"/>
      </w:r>
    </w:p>
    <w:p>
      <w:pPr>
        <w:spacing w:line="480" w:lineRule="auto"/>
        <w:ind w:firstLine="420" w:firstLineChars="200"/>
        <w:rPr>
          <w:rFonts w:ascii="Times New Roman" w:hAnsi="Times New Roman" w:cs="Times New Roman"/>
          <w:szCs w:val="22"/>
        </w:rPr>
      </w:pPr>
      <w:r>
        <w:rPr>
          <w:rFonts w:hint="eastAsia" w:ascii="Times New Roman" w:hAnsi="Times New Roman" w:cs="Times New Roman"/>
        </w:rPr>
        <w:t>监督电话：0551-</w:t>
      </w:r>
      <w:r>
        <w:rPr>
          <w:rFonts w:ascii="Times New Roman" w:hAnsi="Times New Roman" w:cs="Times New Roman"/>
        </w:rPr>
        <w:t>64299218</w:t>
      </w:r>
    </w:p>
    <w:p>
      <w:pPr>
        <w:spacing w:line="480" w:lineRule="auto"/>
        <w:ind w:firstLine="420" w:firstLineChars="200"/>
        <w:rPr>
          <w:rFonts w:ascii="Times New Roman" w:hAnsi="Times New Roman" w:cs="Times New Roman"/>
          <w:szCs w:val="22"/>
        </w:rPr>
      </w:pPr>
    </w:p>
    <w:p>
      <w:pPr>
        <w:pStyle w:val="21"/>
        <w:spacing w:line="480" w:lineRule="auto"/>
        <w:jc w:val="center"/>
        <w:rPr>
          <w:rFonts w:hint="default" w:ascii="Times New Roman" w:hAnsi="Times New Roman"/>
          <w:color w:val="auto"/>
          <w:sz w:val="21"/>
          <w:szCs w:val="22"/>
        </w:rPr>
      </w:pPr>
    </w:p>
    <w:p>
      <w:pPr>
        <w:spacing w:line="480" w:lineRule="auto"/>
        <w:rPr>
          <w:rFonts w:ascii="Times New Roman" w:hAnsi="Times New Roman" w:cs="Times New Roman"/>
          <w:szCs w:val="22"/>
        </w:rPr>
      </w:pPr>
    </w:p>
    <w:p>
      <w:pPr>
        <w:spacing w:line="480" w:lineRule="auto"/>
        <w:rPr>
          <w:rFonts w:ascii="Times New Roman" w:hAnsi="Times New Roman" w:cs="Times New Roman"/>
          <w:szCs w:val="22"/>
        </w:rPr>
      </w:pPr>
    </w:p>
    <w:p>
      <w:pPr>
        <w:spacing w:line="480" w:lineRule="auto"/>
        <w:ind w:firstLine="0" w:firstLineChars="0"/>
        <w:jc w:val="righ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2022年3月17日</w:t>
      </w: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rPr>
          <w:rFonts w:hint="eastAsia" w:ascii="Times New Roman" w:hAnsi="Times New Roman" w:cs="Times New Roman"/>
          <w:szCs w:val="22"/>
          <w:lang w:val="en-US" w:eastAsia="zh-CN"/>
        </w:rPr>
      </w:pPr>
    </w:p>
    <w:p>
      <w:pPr>
        <w:pStyle w:val="2"/>
        <w:ind w:left="0" w:leftChars="0"/>
        <w:rPr>
          <w:rFonts w:hint="default" w:ascii="Times New Roman" w:hAnsi="Times New Roman" w:cs="Times New Roman"/>
          <w:szCs w:val="22"/>
          <w:lang w:val="en-US" w:eastAsia="zh-CN"/>
        </w:rPr>
      </w:pPr>
    </w:p>
    <w:p>
      <w:pPr>
        <w:pStyle w:val="2"/>
        <w:ind w:left="0" w:leftChars="0"/>
        <w:rPr>
          <w:rFonts w:hint="default" w:ascii="Times New Roman" w:hAnsi="Times New Roman" w:cs="Times New Roman"/>
          <w:szCs w:val="22"/>
          <w:lang w:val="en-US" w:eastAsia="zh-CN"/>
        </w:rPr>
      </w:pPr>
    </w:p>
    <w:p>
      <w:pPr>
        <w:pStyle w:val="2"/>
        <w:ind w:left="0" w:leftChars="0"/>
        <w:rPr>
          <w:rFonts w:hint="default" w:ascii="Times New Roman" w:hAnsi="Times New Roman" w:cs="Times New Roman"/>
          <w:szCs w:val="22"/>
          <w:lang w:val="en-US" w:eastAsia="zh-CN"/>
        </w:rPr>
      </w:pPr>
    </w:p>
    <w:p>
      <w:pPr>
        <w:pStyle w:val="2"/>
        <w:ind w:left="0" w:leftChars="0"/>
        <w:rPr>
          <w:rFonts w:hint="default" w:ascii="Times New Roman" w:hAnsi="Times New Roman" w:cs="Times New Roman"/>
          <w:szCs w:val="22"/>
          <w:lang w:val="en-US" w:eastAsia="zh-CN"/>
        </w:rPr>
      </w:pPr>
    </w:p>
    <w:p>
      <w:pPr>
        <w:pStyle w:val="3"/>
        <w:numPr>
          <w:ilvl w:val="0"/>
          <w:numId w:val="3"/>
        </w:numPr>
        <w:spacing w:before="312" w:after="312"/>
        <w:ind w:firstLine="0"/>
        <w:rPr>
          <w:rFonts w:ascii="Times New Roman" w:hAnsi="Times New Roman" w:eastAsia="宋体" w:cs="Times New Roman"/>
        </w:rPr>
      </w:pPr>
      <w:bookmarkStart w:id="2" w:name="_Toc6302"/>
      <w:r>
        <w:rPr>
          <w:rFonts w:ascii="Times New Roman" w:hAnsi="Times New Roman" w:eastAsia="宋体" w:cs="Times New Roman"/>
        </w:rPr>
        <w:t>供应商须知</w:t>
      </w:r>
      <w:bookmarkEnd w:id="2"/>
    </w:p>
    <w:p>
      <w:pPr>
        <w:keepNext/>
        <w:keepLines/>
        <w:spacing w:beforeLines="50" w:afterLines="50" w:line="360" w:lineRule="auto"/>
        <w:outlineLvl w:val="1"/>
        <w:rPr>
          <w:rFonts w:ascii="Times New Roman" w:hAnsi="Times New Roman" w:eastAsia="黑体" w:cs="Times New Roman"/>
          <w:bCs/>
          <w:sz w:val="24"/>
          <w:szCs w:val="32"/>
        </w:rPr>
      </w:pPr>
      <w:bookmarkStart w:id="3" w:name="_Toc9067720"/>
      <w:bookmarkStart w:id="4" w:name="_Toc26656938"/>
      <w:bookmarkStart w:id="5" w:name="_Toc14201207"/>
      <w:r>
        <w:rPr>
          <w:rFonts w:ascii="Times New Roman" w:hAnsi="Times New Roman" w:eastAsia="黑体" w:cs="Times New Roman"/>
          <w:bCs/>
          <w:sz w:val="24"/>
          <w:szCs w:val="32"/>
        </w:rPr>
        <w:t>1. 总则</w:t>
      </w:r>
      <w:bookmarkEnd w:id="3"/>
      <w:bookmarkEnd w:id="4"/>
      <w:bookmarkEnd w:id="5"/>
    </w:p>
    <w:p>
      <w:pPr>
        <w:keepNext/>
        <w:keepLines/>
        <w:spacing w:before="120" w:after="120"/>
        <w:outlineLvl w:val="2"/>
        <w:rPr>
          <w:rFonts w:ascii="Times New Roman" w:hAnsi="Times New Roman" w:eastAsia="黑体" w:cs="Times New Roman"/>
          <w:bCs/>
          <w:sz w:val="24"/>
          <w:szCs w:val="32"/>
        </w:rPr>
      </w:pPr>
      <w:bookmarkStart w:id="6" w:name="_Toc26656939"/>
      <w:bookmarkStart w:id="7" w:name="_Toc14201208"/>
      <w:r>
        <w:rPr>
          <w:rFonts w:ascii="Times New Roman" w:hAnsi="Times New Roman" w:eastAsia="黑体" w:cs="Times New Roman"/>
          <w:bCs/>
          <w:sz w:val="24"/>
          <w:szCs w:val="32"/>
        </w:rPr>
        <w:t xml:space="preserve">1.1 </w:t>
      </w:r>
      <w:bookmarkEnd w:id="6"/>
      <w:bookmarkEnd w:id="7"/>
      <w:bookmarkStart w:id="8" w:name="_Toc14201210"/>
      <w:bookmarkStart w:id="9" w:name="_Toc26656941"/>
      <w:r>
        <w:rPr>
          <w:rFonts w:ascii="Times New Roman" w:hAnsi="Times New Roman" w:eastAsia="黑体" w:cs="Times New Roman"/>
          <w:bCs/>
          <w:sz w:val="24"/>
          <w:szCs w:val="32"/>
        </w:rPr>
        <w:t>质量要求和安全</w:t>
      </w:r>
      <w:bookmarkEnd w:id="8"/>
      <w:bookmarkEnd w:id="9"/>
      <w:r>
        <w:rPr>
          <w:rFonts w:hint="eastAsia" w:ascii="Times New Roman" w:hAnsi="Times New Roman" w:eastAsia="黑体" w:cs="Times New Roman"/>
          <w:bCs/>
          <w:sz w:val="24"/>
          <w:szCs w:val="32"/>
        </w:rPr>
        <w:t>目标</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hint="eastAsia"/>
          <w:szCs w:val="21"/>
          <w:u w:val="single"/>
        </w:rPr>
        <w:t>满足询比文件要求</w:t>
      </w:r>
      <w:r>
        <w:rPr>
          <w:rFonts w:hint="eastAsia"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本合同包的安全目标：</w:t>
      </w:r>
      <w:r>
        <w:rPr>
          <w:rFonts w:hint="eastAsia"/>
          <w:szCs w:val="21"/>
          <w:u w:val="single"/>
        </w:rPr>
        <w:t>无安全责任事故</w:t>
      </w:r>
      <w:r>
        <w:rPr>
          <w:rFonts w:hint="eastAsia"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10" w:name="_Toc14201211"/>
      <w:bookmarkStart w:id="11" w:name="_Toc2665694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10"/>
      <w:bookmarkEnd w:id="11"/>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服务</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采购公告第3.1款要求</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12" w:name="_Toc26656943"/>
      <w:bookmarkStart w:id="13" w:name="_Toc1420121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12"/>
      <w:bookmarkEnd w:id="13"/>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14" w:name="_Toc26656944"/>
      <w:bookmarkStart w:id="15" w:name="_Toc1420121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14"/>
      <w:bookmarkEnd w:id="15"/>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16" w:name="_Toc14201215"/>
      <w:bookmarkStart w:id="17" w:name="_Toc2665694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16"/>
      <w:bookmarkEnd w:id="17"/>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18" w:name="_Toc26656947"/>
      <w:bookmarkStart w:id="19" w:name="_Toc1420121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18"/>
      <w:bookmarkEnd w:id="19"/>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bookmarkStart w:id="20" w:name="_Toc14201218"/>
      <w:bookmarkStart w:id="21" w:name="_Toc2665694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20"/>
      <w:bookmarkEnd w:id="21"/>
    </w:p>
    <w:p>
      <w:pPr>
        <w:spacing w:line="440" w:lineRule="exact"/>
        <w:ind w:firstLine="420"/>
        <w:rPr>
          <w:rFonts w:ascii="Times New Roman" w:hAnsi="Times New Roman" w:cs="Times New Roman"/>
        </w:rPr>
      </w:pPr>
      <w:r>
        <w:rPr>
          <w:rFonts w:hint="eastAsia" w:ascii="Times New Roman" w:hAnsi="Times New Roman" w:cs="Times New Roman"/>
        </w:rPr>
        <w:t xml:space="preserve">不允许分包。        </w:t>
      </w:r>
    </w:p>
    <w:p>
      <w:pPr>
        <w:keepNext/>
        <w:keepLines/>
        <w:spacing w:before="120" w:after="120"/>
        <w:outlineLvl w:val="2"/>
        <w:rPr>
          <w:rFonts w:ascii="Times New Roman" w:hAnsi="Times New Roman" w:eastAsia="黑体" w:cs="Times New Roman"/>
          <w:bCs/>
          <w:sz w:val="24"/>
          <w:szCs w:val="32"/>
        </w:rPr>
      </w:pPr>
      <w:bookmarkStart w:id="22" w:name="_Toc14201219"/>
      <w:bookmarkStart w:id="23" w:name="_Toc26656950"/>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22"/>
      <w:bookmarkEnd w:id="23"/>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24" w:name="_Toc26656951"/>
      <w:bookmarkStart w:id="25" w:name="_Toc9067721"/>
      <w:bookmarkStart w:id="26" w:name="_Toc14201220"/>
      <w:r>
        <w:rPr>
          <w:rFonts w:ascii="Times New Roman" w:hAnsi="Times New Roman" w:eastAsia="黑体" w:cs="Times New Roman"/>
          <w:bCs/>
          <w:sz w:val="24"/>
          <w:szCs w:val="32"/>
        </w:rPr>
        <w:t xml:space="preserve">2. </w:t>
      </w:r>
      <w:bookmarkEnd w:id="24"/>
      <w:bookmarkEnd w:id="25"/>
      <w:bookmarkEnd w:id="26"/>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27" w:name="_Toc26656952"/>
      <w:bookmarkStart w:id="28" w:name="_Toc14201221"/>
      <w:r>
        <w:rPr>
          <w:rFonts w:ascii="Times New Roman" w:hAnsi="Times New Roman" w:eastAsia="黑体" w:cs="Times New Roman"/>
          <w:bCs/>
          <w:sz w:val="24"/>
          <w:szCs w:val="32"/>
        </w:rPr>
        <w:t>2.1 询比文件的组成</w:t>
      </w:r>
      <w:bookmarkEnd w:id="27"/>
      <w:bookmarkEnd w:id="28"/>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29" w:name="_Toc26656953"/>
      <w:bookmarkStart w:id="30" w:name="_Toc14201222"/>
      <w:r>
        <w:rPr>
          <w:rFonts w:ascii="Times New Roman" w:hAnsi="Times New Roman" w:eastAsia="黑体" w:cs="Times New Roman"/>
          <w:bCs/>
          <w:sz w:val="24"/>
          <w:szCs w:val="32"/>
        </w:rPr>
        <w:t>2.2 询比文件的澄清</w:t>
      </w:r>
      <w:bookmarkEnd w:id="29"/>
      <w:bookmarkEnd w:id="30"/>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书面形式</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bookmarkStart w:id="31" w:name="_Toc26656956"/>
      <w:bookmarkStart w:id="32" w:name="_Toc14201225"/>
      <w:bookmarkStart w:id="33" w:name="_Toc9067722"/>
      <w:r>
        <w:rPr>
          <w:rFonts w:ascii="Times New Roman" w:hAnsi="Times New Roman" w:eastAsia="黑体" w:cs="Times New Roman"/>
          <w:bCs/>
          <w:sz w:val="24"/>
          <w:szCs w:val="32"/>
        </w:rPr>
        <w:t xml:space="preserve">3. </w:t>
      </w:r>
      <w:bookmarkEnd w:id="31"/>
      <w:bookmarkEnd w:id="32"/>
      <w:bookmarkEnd w:id="33"/>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34" w:name="_Toc14201226"/>
      <w:bookmarkStart w:id="35" w:name="_Toc26656957"/>
      <w:r>
        <w:rPr>
          <w:rFonts w:ascii="Times New Roman" w:hAnsi="Times New Roman" w:eastAsia="黑体" w:cs="Times New Roman"/>
          <w:bCs/>
          <w:sz w:val="24"/>
          <w:szCs w:val="32"/>
        </w:rPr>
        <w:t>3.1响应文件的组成</w:t>
      </w:r>
      <w:bookmarkEnd w:id="34"/>
      <w:bookmarkEnd w:id="35"/>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拟委任的主要人员</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（7）技术方案；</w:t>
      </w:r>
    </w:p>
    <w:p>
      <w:pPr>
        <w:spacing w:line="440" w:lineRule="exact"/>
        <w:ind w:firstLine="42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36" w:name="_Toc26656958"/>
      <w:bookmarkStart w:id="37" w:name="_Toc14201227"/>
      <w:r>
        <w:rPr>
          <w:rFonts w:ascii="Times New Roman" w:hAnsi="Times New Roman" w:eastAsia="黑体" w:cs="Times New Roman"/>
          <w:bCs/>
          <w:sz w:val="24"/>
          <w:szCs w:val="32"/>
        </w:rPr>
        <w:t>3.2 报价</w:t>
      </w:r>
      <w:bookmarkEnd w:id="36"/>
      <w:bookmarkEnd w:id="37"/>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，供应商应提供增值税（专用/普通）发票</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lang w:eastAsia="zh-CN"/>
        </w:rPr>
        <w:t>：</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u w:val="single"/>
        </w:rPr>
        <w:t>报价包括差旅费、利润、税费等一切相关费用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38" w:name="_Toc14201228"/>
      <w:bookmarkStart w:id="39" w:name="_Toc26656959"/>
      <w:r>
        <w:rPr>
          <w:rFonts w:ascii="Times New Roman" w:hAnsi="Times New Roman" w:eastAsia="黑体" w:cs="Times New Roman"/>
          <w:bCs/>
          <w:sz w:val="24"/>
          <w:szCs w:val="32"/>
        </w:rPr>
        <w:t>3.3</w:t>
      </w:r>
      <w:bookmarkEnd w:id="38"/>
      <w:bookmarkEnd w:id="39"/>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color w:val="auto"/>
          <w:sz w:val="24"/>
          <w:szCs w:val="32"/>
        </w:rPr>
      </w:pPr>
      <w:bookmarkStart w:id="40" w:name="_Toc26656960"/>
      <w:bookmarkStart w:id="41" w:name="_Toc14201229"/>
      <w:r>
        <w:rPr>
          <w:rFonts w:ascii="Times New Roman" w:hAnsi="Times New Roman" w:eastAsia="黑体" w:cs="Times New Roman"/>
          <w:bCs/>
          <w:color w:val="auto"/>
          <w:sz w:val="24"/>
          <w:szCs w:val="32"/>
        </w:rPr>
        <w:t>3.4</w:t>
      </w:r>
      <w:bookmarkEnd w:id="40"/>
      <w:bookmarkEnd w:id="41"/>
      <w:r>
        <w:rPr>
          <w:rFonts w:ascii="Times New Roman" w:hAnsi="Times New Roman" w:eastAsia="黑体" w:cs="Times New Roman"/>
          <w:bCs/>
          <w:color w:val="auto"/>
          <w:sz w:val="24"/>
          <w:szCs w:val="32"/>
        </w:rPr>
        <w:t>响应</w:t>
      </w:r>
      <w:r>
        <w:rPr>
          <w:rFonts w:ascii="Times New Roman" w:hAnsi="Times New Roman" w:eastAsia="黑体" w:cs="Times New Roman"/>
          <w:bCs/>
          <w:color w:val="auto"/>
          <w:sz w:val="24"/>
        </w:rPr>
        <w:t>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2" w:name="_Toc26656961"/>
      <w:bookmarkStart w:id="43" w:name="_Toc14201230"/>
      <w:r>
        <w:rPr>
          <w:rFonts w:ascii="Times New Roman" w:hAnsi="Times New Roman" w:eastAsia="黑体" w:cs="Times New Roman"/>
          <w:bCs/>
          <w:sz w:val="24"/>
          <w:szCs w:val="32"/>
        </w:rPr>
        <w:t>3.5资格审查资料</w:t>
      </w:r>
      <w:bookmarkEnd w:id="42"/>
      <w:bookmarkEnd w:id="43"/>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4" w:name="_Toc14201232"/>
      <w:bookmarkStart w:id="45"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4"/>
      <w:bookmarkEnd w:id="45"/>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服务</w:t>
      </w:r>
      <w:r>
        <w:rPr>
          <w:rFonts w:ascii="Times New Roman" w:hAnsi="Times New Roman" w:cs="Times New Roman"/>
        </w:rPr>
        <w:t>期、响应有效期、质量要求、安全目标、技术标准和要求、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pPr>
        <w:keepNext/>
        <w:keepLines/>
        <w:spacing w:beforeLines="50" w:afterLines="50"/>
        <w:outlineLvl w:val="1"/>
        <w:rPr>
          <w:rFonts w:ascii="Times New Roman" w:hAnsi="Times New Roman" w:eastAsia="黑体" w:cs="Times New Roman"/>
          <w:bCs/>
          <w:sz w:val="24"/>
          <w:szCs w:val="32"/>
        </w:rPr>
      </w:pPr>
      <w:bookmarkStart w:id="46" w:name="_Toc14201233"/>
      <w:bookmarkStart w:id="47" w:name="_Toc9067723"/>
      <w:bookmarkStart w:id="48" w:name="_Toc26656964"/>
      <w:r>
        <w:rPr>
          <w:rFonts w:ascii="Times New Roman" w:hAnsi="Times New Roman" w:eastAsia="黑体" w:cs="Times New Roman"/>
          <w:bCs/>
          <w:sz w:val="24"/>
          <w:szCs w:val="32"/>
        </w:rPr>
        <w:t xml:space="preserve">4. </w:t>
      </w:r>
      <w:bookmarkEnd w:id="46"/>
      <w:bookmarkEnd w:id="47"/>
      <w:bookmarkEnd w:id="48"/>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49" w:name="_Toc14201234"/>
      <w:bookmarkStart w:id="50" w:name="_Toc26656965"/>
      <w:r>
        <w:rPr>
          <w:rFonts w:ascii="Times New Roman" w:hAnsi="Times New Roman" w:eastAsia="黑体" w:cs="Times New Roman"/>
          <w:bCs/>
          <w:sz w:val="24"/>
          <w:szCs w:val="32"/>
        </w:rPr>
        <w:t>4.1响应文件的密封和标记</w:t>
      </w:r>
      <w:bookmarkEnd w:id="49"/>
      <w:bookmarkEnd w:id="50"/>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bookmarkStart w:id="51" w:name="_Toc26656966"/>
      <w:bookmarkStart w:id="52" w:name="_Toc14201235"/>
      <w:r>
        <w:rPr>
          <w:rFonts w:ascii="Times New Roman" w:hAnsi="Times New Roman" w:eastAsia="黑体" w:cs="Times New Roman"/>
          <w:bCs/>
          <w:sz w:val="24"/>
          <w:szCs w:val="32"/>
        </w:rPr>
        <w:t>4.2 响应文件的递交</w:t>
      </w:r>
      <w:bookmarkEnd w:id="51"/>
      <w:bookmarkEnd w:id="52"/>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bookmarkStart w:id="53" w:name="_Toc9067724"/>
      <w:bookmarkStart w:id="54" w:name="_Toc26656968"/>
      <w:bookmarkStart w:id="55" w:name="_Toc14201237"/>
      <w:r>
        <w:rPr>
          <w:rFonts w:ascii="Times New Roman" w:hAnsi="Times New Roman" w:eastAsia="黑体" w:cs="Times New Roman"/>
          <w:bCs/>
          <w:sz w:val="24"/>
          <w:szCs w:val="32"/>
        </w:rPr>
        <w:t xml:space="preserve">5. </w:t>
      </w:r>
      <w:bookmarkEnd w:id="53"/>
      <w:bookmarkEnd w:id="54"/>
      <w:bookmarkEnd w:id="55"/>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56" w:name="_Toc26656969"/>
      <w:bookmarkStart w:id="57" w:name="_Toc14201238"/>
      <w:r>
        <w:rPr>
          <w:rFonts w:ascii="Times New Roman" w:hAnsi="Times New Roman" w:eastAsia="黑体" w:cs="Times New Roman"/>
          <w:bCs/>
          <w:sz w:val="24"/>
          <w:szCs w:val="32"/>
        </w:rPr>
        <w:t>5.1 启封时间和地点</w:t>
      </w:r>
      <w:bookmarkEnd w:id="56"/>
      <w:bookmarkEnd w:id="57"/>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58" w:name="_Toc14201239"/>
      <w:bookmarkStart w:id="59" w:name="_Toc26656970"/>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58"/>
      <w:bookmarkEnd w:id="59"/>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w:t>
      </w:r>
      <w:r>
        <w:rPr>
          <w:rFonts w:hint="eastAsia" w:ascii="Times New Roman" w:hAnsi="Times New Roman" w:cs="Times New Roman"/>
          <w:bCs/>
        </w:rPr>
        <w:t>服务</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bCs/>
        </w:rPr>
      </w:pPr>
      <w:r>
        <w:rPr>
          <w:rFonts w:ascii="Times New Roman" w:hAnsi="Times New Roman" w:cs="Times New Roman"/>
          <w:bCs/>
        </w:rPr>
        <w:t>5.2.2</w:t>
      </w:r>
      <w:r>
        <w:rPr>
          <w:rFonts w:hint="eastAsia" w:ascii="Times New Roman" w:hAnsi="Times New Roman" w:cs="Times New Roman"/>
          <w:bCs/>
        </w:rPr>
        <w:t xml:space="preserve"> 本服务项目采用</w:t>
      </w:r>
      <w:r>
        <w:rPr>
          <w:rFonts w:ascii="Times New Roman" w:hAnsi="Times New Roman" w:cs="Times New Roman"/>
          <w:bCs/>
        </w:rPr>
        <w:t>综合评分法，在响应文件启封中，采购人将按第三章“评审办法”规定的原则计算并宣布评审基准价。若采购人发现响应文件出现以下任一情况，其报价将不再参加评审基准价的计算：</w:t>
      </w:r>
    </w:p>
    <w:p>
      <w:pPr>
        <w:spacing w:line="440" w:lineRule="exact"/>
        <w:ind w:firstLine="420"/>
        <w:rPr>
          <w:rFonts w:ascii="Times New Roman" w:hAnsi="Times New Roman" w:cs="Times New Roman"/>
          <w:bCs/>
        </w:rPr>
      </w:pPr>
      <w:r>
        <w:rPr>
          <w:rFonts w:ascii="Times New Roman" w:hAnsi="Times New Roman" w:cs="Times New Roman"/>
          <w:bCs/>
        </w:rPr>
        <w:t>（1）报价超出采购人公布的最高限价</w:t>
      </w:r>
      <w:r>
        <w:rPr>
          <w:rFonts w:hint="eastAsia" w:ascii="Times New Roman" w:hAnsi="Times New Roman" w:cs="Times New Roman"/>
          <w:bCs/>
        </w:rPr>
        <w:t>；</w:t>
      </w:r>
    </w:p>
    <w:p>
      <w:pPr>
        <w:spacing w:line="440" w:lineRule="exact"/>
        <w:ind w:firstLine="420"/>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未在报价函上填写总报价</w:t>
      </w:r>
      <w:r>
        <w:rPr>
          <w:rFonts w:hint="eastAsia" w:ascii="Times New Roman" w:hAnsi="Times New Roman" w:cs="Times New Roman"/>
          <w:bCs/>
        </w:rPr>
        <w:t>；</w:t>
      </w:r>
    </w:p>
    <w:p>
      <w:pPr>
        <w:spacing w:line="440" w:lineRule="exact"/>
        <w:ind w:firstLine="420"/>
        <w:rPr>
          <w:rFonts w:ascii="Times New Roman" w:hAnsi="Times New Roman" w:cs="Times New Roman"/>
          <w:bCs/>
        </w:rPr>
      </w:pPr>
      <w:r>
        <w:rPr>
          <w:rFonts w:hint="eastAsia" w:ascii="Times New Roman" w:hAnsi="Times New Roman" w:cs="Times New Roman"/>
          <w:bCs/>
        </w:rPr>
        <w:t>（3）报价函中的报价与已标价的报价清单总报价不一致（四舍五入除外）</w:t>
      </w:r>
      <w:r>
        <w:rPr>
          <w:rFonts w:ascii="Times New Roman" w:hAnsi="Times New Roman" w:cs="Times New Roman"/>
          <w:bCs/>
        </w:rPr>
        <w:t>；</w:t>
      </w:r>
    </w:p>
    <w:p>
      <w:pPr>
        <w:spacing w:line="440" w:lineRule="exact"/>
        <w:ind w:firstLine="420"/>
        <w:rPr>
          <w:rFonts w:ascii="Times New Roman" w:hAnsi="Times New Roman"/>
        </w:rPr>
      </w:pPr>
      <w:r>
        <w:rPr>
          <w:rFonts w:hint="eastAsia" w:ascii="Times New Roman" w:hAnsi="Times New Roman" w:cs="Times New Roman"/>
          <w:bCs/>
        </w:rPr>
        <w:t>（4）未按要求提交响应保证金（如有）；</w:t>
      </w:r>
    </w:p>
    <w:p>
      <w:pPr>
        <w:spacing w:line="440" w:lineRule="exact"/>
        <w:ind w:firstLine="420"/>
        <w:rPr>
          <w:rFonts w:ascii="Times New Roman" w:hAnsi="Times New Roman" w:cs="Times New Roman"/>
        </w:rPr>
      </w:pPr>
      <w:r>
        <w:rPr>
          <w:rFonts w:ascii="Times New Roman" w:hAnsi="Times New Roman" w:cs="Times New Roman"/>
          <w:bCs/>
        </w:rPr>
        <w:t>如果供应商认为某一合同包的评审基准价计算有误，有权在启封过程中提出，经采购人在启封过程中核实确认之后，可重新宣布评审基准价。启封过程中公布的评审基准价除计算有误，经</w:t>
      </w:r>
      <w:r>
        <w:rPr>
          <w:rFonts w:hint="eastAsia" w:ascii="Times New Roman" w:hAnsi="Times New Roman" w:cs="Times New Roman"/>
          <w:bCs/>
        </w:rPr>
        <w:t>评审小组</w:t>
      </w:r>
      <w:r>
        <w:rPr>
          <w:rFonts w:ascii="Times New Roman" w:hAnsi="Times New Roman" w:cs="Times New Roman"/>
          <w:bCs/>
        </w:rPr>
        <w:t>修正外，在整个评审期间保持不变，不随任何因素发生变化。</w:t>
      </w:r>
    </w:p>
    <w:p>
      <w:pPr>
        <w:spacing w:line="440" w:lineRule="exact"/>
        <w:ind w:firstLine="420"/>
        <w:rPr>
          <w:rFonts w:ascii="Times New Roman" w:hAnsi="Times New Roman" w:cs="Times New Roman"/>
        </w:rPr>
      </w:pPr>
      <w:r>
        <w:rPr>
          <w:rFonts w:hint="eastAsia" w:ascii="Times New Roman" w:hAnsi="Times New Roman" w:cs="Times New Roman"/>
        </w:rPr>
        <w:t>5.2.3</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60" w:name="_Toc9067725"/>
      <w:bookmarkStart w:id="61" w:name="_Toc26656972"/>
      <w:bookmarkStart w:id="62" w:name="_Toc14201241"/>
      <w:r>
        <w:rPr>
          <w:rFonts w:ascii="Times New Roman" w:hAnsi="Times New Roman" w:eastAsia="黑体" w:cs="Times New Roman"/>
          <w:bCs/>
          <w:sz w:val="24"/>
          <w:szCs w:val="32"/>
        </w:rPr>
        <w:t>6. 评</w:t>
      </w:r>
      <w:bookmarkEnd w:id="60"/>
      <w:bookmarkEnd w:id="61"/>
      <w:bookmarkEnd w:id="6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63" w:name="_Toc14201242"/>
      <w:bookmarkStart w:id="64" w:name="_Toc26656973"/>
      <w:r>
        <w:rPr>
          <w:rFonts w:ascii="Times New Roman" w:hAnsi="Times New Roman" w:eastAsia="黑体" w:cs="Times New Roman"/>
          <w:bCs/>
          <w:sz w:val="24"/>
          <w:szCs w:val="32"/>
        </w:rPr>
        <w:t>6.1</w:t>
      </w:r>
      <w:bookmarkEnd w:id="63"/>
      <w:bookmarkEnd w:id="6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65" w:name="_Toc14201244"/>
      <w:bookmarkStart w:id="6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65"/>
      <w:bookmarkEnd w:id="6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67" w:name="_Toc26656976"/>
      <w:bookmarkStart w:id="68" w:name="_Toc9067726"/>
      <w:bookmarkStart w:id="69" w:name="_Toc14201245"/>
      <w:r>
        <w:rPr>
          <w:rFonts w:ascii="Times New Roman" w:hAnsi="Times New Roman" w:eastAsia="黑体" w:cs="Times New Roman"/>
          <w:bCs/>
          <w:sz w:val="24"/>
          <w:szCs w:val="32"/>
        </w:rPr>
        <w:t>7. 合同授予</w:t>
      </w:r>
      <w:bookmarkEnd w:id="67"/>
      <w:bookmarkEnd w:id="68"/>
      <w:bookmarkEnd w:id="69"/>
    </w:p>
    <w:p>
      <w:pPr>
        <w:keepNext/>
        <w:keepLines/>
        <w:spacing w:before="120" w:after="120"/>
        <w:outlineLvl w:val="2"/>
        <w:rPr>
          <w:rFonts w:ascii="Times New Roman" w:hAnsi="Times New Roman" w:eastAsia="黑体" w:cs="Times New Roman"/>
          <w:bCs/>
          <w:sz w:val="24"/>
          <w:szCs w:val="32"/>
        </w:rPr>
      </w:pPr>
      <w:bookmarkStart w:id="70" w:name="_Toc14201246"/>
      <w:bookmarkStart w:id="71" w:name="_Toc26656977"/>
      <w:r>
        <w:rPr>
          <w:rFonts w:ascii="Times New Roman" w:hAnsi="Times New Roman" w:eastAsia="黑体" w:cs="Times New Roman"/>
          <w:bCs/>
          <w:sz w:val="24"/>
          <w:szCs w:val="32"/>
        </w:rPr>
        <w:t>7.1成交候选人公示</w:t>
      </w:r>
      <w:bookmarkEnd w:id="70"/>
      <w:bookmarkEnd w:id="7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72" w:name="_Toc26656978"/>
      <w:bookmarkStart w:id="73" w:name="_Toc14201247"/>
      <w:r>
        <w:rPr>
          <w:rFonts w:ascii="Times New Roman" w:hAnsi="Times New Roman" w:eastAsia="黑体" w:cs="Times New Roman"/>
          <w:bCs/>
          <w:sz w:val="24"/>
          <w:szCs w:val="32"/>
        </w:rPr>
        <w:t>7.2评审结果异议</w:t>
      </w:r>
      <w:bookmarkEnd w:id="72"/>
      <w:bookmarkEnd w:id="7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74" w:name="_Toc26656979"/>
      <w:bookmarkStart w:id="75" w:name="_Toc14201248"/>
      <w:r>
        <w:rPr>
          <w:rFonts w:ascii="Times New Roman" w:hAnsi="Times New Roman" w:eastAsia="黑体" w:cs="Times New Roman"/>
          <w:bCs/>
          <w:sz w:val="24"/>
          <w:szCs w:val="32"/>
        </w:rPr>
        <w:t>7.3成交候选人履约能力审查</w:t>
      </w:r>
      <w:bookmarkEnd w:id="74"/>
      <w:bookmarkEnd w:id="7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76" w:name="_Toc14201250"/>
      <w:bookmarkStart w:id="77" w:name="_Toc26656981"/>
      <w:r>
        <w:rPr>
          <w:rFonts w:ascii="Times New Roman" w:hAnsi="Times New Roman" w:eastAsia="黑体" w:cs="Times New Roman"/>
          <w:bCs/>
          <w:sz w:val="24"/>
          <w:szCs w:val="32"/>
        </w:rPr>
        <w:t>7.</w:t>
      </w:r>
      <w:bookmarkEnd w:id="76"/>
      <w:bookmarkEnd w:id="77"/>
      <w:bookmarkStart w:id="78" w:name="_Toc26656983"/>
      <w:bookmarkStart w:id="79" w:name="_Toc14201252"/>
      <w:r>
        <w:rPr>
          <w:rFonts w:ascii="Times New Roman" w:hAnsi="Times New Roman" w:eastAsia="黑体" w:cs="Times New Roman"/>
          <w:bCs/>
          <w:sz w:val="24"/>
          <w:szCs w:val="32"/>
        </w:rPr>
        <w:t>4履约保证金</w:t>
      </w:r>
      <w:bookmarkEnd w:id="78"/>
      <w:bookmarkEnd w:id="79"/>
    </w:p>
    <w:p>
      <w:pPr>
        <w:keepNext/>
        <w:keepLines/>
        <w:spacing w:before="120" w:after="120"/>
        <w:ind w:firstLine="480" w:firstLineChars="200"/>
        <w:outlineLvl w:val="2"/>
        <w:rPr>
          <w:rFonts w:asciiTheme="minorEastAsia" w:hAnsiTheme="minorEastAsia" w:cstheme="minorEastAsia"/>
          <w:bCs/>
          <w:sz w:val="24"/>
          <w:szCs w:val="32"/>
        </w:rPr>
      </w:pPr>
      <w:r>
        <w:rPr>
          <w:rFonts w:hint="eastAsia" w:asciiTheme="minorEastAsia" w:hAnsiTheme="minorEastAsia" w:cstheme="minorEastAsia"/>
          <w:bCs/>
          <w:sz w:val="24"/>
          <w:szCs w:val="32"/>
        </w:rPr>
        <w:t>无。</w:t>
      </w:r>
    </w:p>
    <w:p>
      <w:pPr>
        <w:keepNext/>
        <w:keepLines/>
        <w:spacing w:before="120" w:after="120"/>
        <w:outlineLvl w:val="2"/>
        <w:rPr>
          <w:rFonts w:ascii="Times New Roman" w:hAnsi="Times New Roman" w:eastAsia="黑体" w:cs="Times New Roman"/>
          <w:bCs/>
          <w:sz w:val="24"/>
          <w:szCs w:val="32"/>
        </w:rPr>
      </w:pPr>
      <w:bookmarkStart w:id="80" w:name="_Toc26656984"/>
      <w:bookmarkStart w:id="81" w:name="_Toc14201253"/>
      <w:r>
        <w:rPr>
          <w:rFonts w:ascii="Times New Roman" w:hAnsi="Times New Roman" w:eastAsia="黑体" w:cs="Times New Roman"/>
          <w:bCs/>
          <w:sz w:val="24"/>
          <w:szCs w:val="32"/>
        </w:rPr>
        <w:t>7.5签订合同</w:t>
      </w:r>
      <w:bookmarkEnd w:id="80"/>
      <w:bookmarkEnd w:id="8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cs="Times New Roman"/>
          <w:bCs/>
          <w:sz w:val="24"/>
          <w:szCs w:val="32"/>
        </w:rPr>
      </w:pPr>
      <w:bookmarkStart w:id="82" w:name="_Toc9067727"/>
      <w:bookmarkStart w:id="83" w:name="_Toc14201257"/>
      <w:bookmarkStart w:id="84" w:name="_Toc26656988"/>
      <w:r>
        <w:rPr>
          <w:rFonts w:ascii="Times New Roman" w:hAnsi="Times New Roman" w:eastAsia="黑体" w:cs="Times New Roman"/>
          <w:bCs/>
          <w:sz w:val="24"/>
          <w:szCs w:val="32"/>
        </w:rPr>
        <w:t>8. 纪律和监督</w:t>
      </w:r>
      <w:bookmarkEnd w:id="82"/>
      <w:bookmarkEnd w:id="83"/>
      <w:bookmarkEnd w:id="8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85" w:name="_Toc14201262"/>
      <w:bookmarkStart w:id="8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85"/>
      <w:bookmarkEnd w:id="86"/>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：0551-</w:t>
      </w:r>
      <w:r>
        <w:rPr>
          <w:rFonts w:ascii="Times New Roman" w:hAnsi="Times New Roman" w:cs="Times New Roman"/>
        </w:rPr>
        <w:t>64299218</w:t>
      </w:r>
      <w:r>
        <w:rPr>
          <w:rFonts w:hint="eastAsia"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87" w:name="_Toc9067731"/>
      <w:bookmarkStart w:id="88" w:name="_Toc26656994"/>
      <w:bookmarkStart w:id="89"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87"/>
      <w:bookmarkEnd w:id="88"/>
      <w:bookmarkEnd w:id="8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无。</w:t>
      </w:r>
    </w:p>
    <w:p>
      <w:pPr>
        <w:widowControl/>
        <w:jc w:val="left"/>
        <w:rPr>
          <w:rFonts w:ascii="Times New Roman" w:hAnsi="Times New Roman" w:cs="Times New Roman"/>
        </w:rPr>
      </w:pPr>
      <w:r>
        <w:rPr>
          <w:rFonts w:ascii="Times New Roman" w:hAnsi="Times New Roman" w:cs="Times New Roman"/>
        </w:rPr>
        <w:br w:type="page"/>
      </w:r>
    </w:p>
    <w:p>
      <w:pPr>
        <w:pStyle w:val="3"/>
        <w:numPr>
          <w:ilvl w:val="0"/>
          <w:numId w:val="3"/>
        </w:numPr>
        <w:spacing w:before="312" w:after="312"/>
        <w:ind w:firstLine="0"/>
        <w:rPr>
          <w:rFonts w:ascii="Times New Roman" w:hAnsi="Times New Roman" w:eastAsia="宋体" w:cs="Times New Roman"/>
        </w:rPr>
      </w:pPr>
      <w:bookmarkStart w:id="90" w:name="_Toc25374"/>
      <w:r>
        <w:rPr>
          <w:rFonts w:hint="eastAsia" w:ascii="Times New Roman" w:hAnsi="Times New Roman" w:eastAsia="宋体" w:cs="Times New Roman"/>
        </w:rPr>
        <w:t>评审办法</w:t>
      </w:r>
      <w:bookmarkEnd w:id="90"/>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按综合得分由高到低的顺序依次推荐成交候选人：</w:t>
            </w:r>
          </w:p>
          <w:p>
            <w:pPr>
              <w:widowControl/>
              <w:adjustRightInd w:val="0"/>
              <w:snapToGrid w:val="0"/>
              <w:jc w:val="left"/>
            </w:pPr>
            <w:r>
              <w:rPr>
                <w:rFonts w:hint="eastAsia" w:ascii="Times New Roman" w:hAnsi="Times New Roman" w:cs="Times New Roman"/>
                <w:kern w:val="0"/>
                <w:szCs w:val="21"/>
              </w:rPr>
              <w:t>☑</w:t>
            </w:r>
            <w:r>
              <w:rPr>
                <w:rFonts w:hint="eastAsia"/>
              </w:rPr>
              <w:t>当综合得分相等时，以评审价得分高的优先；评审价得分也相等的，以评审价低的优先；评审价也相等的，以递交响应文件在前的优先。</w:t>
            </w:r>
          </w:p>
          <w:p>
            <w:pPr>
              <w:pStyle w:val="6"/>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服务期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2</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
    <w:p/>
    <w:tbl>
      <w:tblPr>
        <w:tblStyle w:val="1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pPr>
              <w:snapToGrid w:val="0"/>
              <w:jc w:val="center"/>
              <w:rPr>
                <w:rFonts w:ascii="Times New Roman" w:hAnsi="Times New Roman" w:cs="Times New Roman"/>
                <w:bCs/>
                <w:kern w:val="0"/>
                <w:szCs w:val="21"/>
              </w:rPr>
            </w:pPr>
            <w:r>
              <w:rPr>
                <w:rFonts w:ascii="Times New Roman" w:hAnsi="Times New Roman" w:cs="Times New Roman"/>
                <w:szCs w:val="21"/>
              </w:rPr>
              <w:t>分值构成（100分）</w:t>
            </w:r>
          </w:p>
        </w:tc>
        <w:tc>
          <w:tcPr>
            <w:tcW w:w="6232" w:type="dxa"/>
            <w:vAlign w:val="center"/>
          </w:tcPr>
          <w:p>
            <w:pPr>
              <w:spacing w:line="360" w:lineRule="atLeast"/>
              <w:ind w:firstLine="420"/>
              <w:rPr>
                <w:rFonts w:asciiTheme="minorEastAsia" w:hAnsiTheme="minorEastAsia" w:cstheme="minorEastAsia"/>
                <w:szCs w:val="21"/>
              </w:rPr>
            </w:pPr>
            <w:r>
              <w:rPr>
                <w:rFonts w:hint="eastAsia" w:asciiTheme="minorEastAsia" w:hAnsiTheme="minorEastAsia" w:cstheme="minorEastAsia"/>
                <w:color w:val="000000"/>
                <w:szCs w:val="27"/>
              </w:rPr>
              <w:t>经营实力</w:t>
            </w:r>
            <w:r>
              <w:rPr>
                <w:rFonts w:hint="eastAsia" w:asciiTheme="minorEastAsia" w:hAnsiTheme="minorEastAsia" w:cstheme="minorEastAsia"/>
                <w:szCs w:val="21"/>
              </w:rPr>
              <w:t>：_________分（满分30分）。</w:t>
            </w:r>
          </w:p>
          <w:p>
            <w:pPr>
              <w:spacing w:line="360" w:lineRule="atLeast"/>
              <w:ind w:firstLine="420"/>
              <w:rPr>
                <w:rFonts w:asciiTheme="minorEastAsia" w:hAnsiTheme="minorEastAsia" w:cstheme="minorEastAsia"/>
                <w:szCs w:val="21"/>
              </w:rPr>
            </w:pPr>
            <w:r>
              <w:rPr>
                <w:rFonts w:hint="eastAsia" w:asciiTheme="minorEastAsia" w:hAnsiTheme="minorEastAsia" w:cstheme="minorEastAsia"/>
                <w:color w:val="000000"/>
                <w:szCs w:val="27"/>
              </w:rPr>
              <w:t>项目团队实力</w:t>
            </w:r>
            <w:r>
              <w:rPr>
                <w:rFonts w:hint="eastAsia" w:asciiTheme="minorEastAsia" w:hAnsiTheme="minorEastAsia" w:cstheme="minorEastAsia"/>
                <w:szCs w:val="21"/>
              </w:rPr>
              <w:t>：_________分（满分10分）。</w:t>
            </w:r>
          </w:p>
          <w:p>
            <w:pPr>
              <w:spacing w:line="360" w:lineRule="atLeast"/>
              <w:ind w:firstLine="420"/>
              <w:rPr>
                <w:rFonts w:asciiTheme="minorEastAsia" w:hAnsiTheme="minorEastAsia" w:cstheme="minorEastAsia"/>
                <w:szCs w:val="21"/>
              </w:rPr>
            </w:pPr>
            <w:r>
              <w:rPr>
                <w:rFonts w:hint="eastAsia" w:asciiTheme="minorEastAsia" w:hAnsiTheme="minorEastAsia" w:cstheme="minorEastAsia"/>
                <w:szCs w:val="21"/>
              </w:rPr>
              <w:t>技术方案：_________分（满分20分）。</w:t>
            </w:r>
          </w:p>
          <w:p>
            <w:pPr>
              <w:spacing w:line="360" w:lineRule="atLeast"/>
              <w:ind w:firstLine="420"/>
              <w:rPr>
                <w:rFonts w:ascii="Times New Roman" w:hAnsi="Times New Roman" w:cs="Times New Roman"/>
                <w:kern w:val="0"/>
                <w:szCs w:val="21"/>
              </w:rPr>
            </w:pPr>
            <w:r>
              <w:rPr>
                <w:rFonts w:hint="eastAsia" w:asciiTheme="minorEastAsia" w:hAnsiTheme="minorEastAsia" w:cstheme="minorEastAsia"/>
                <w:szCs w:val="21"/>
              </w:rPr>
              <w:t>评审价</w:t>
            </w:r>
            <w:r>
              <w:rPr>
                <w:rFonts w:ascii="Times New Roman" w:hAnsi="Times New Roman" w:cs="Times New Roman"/>
                <w:szCs w:val="21"/>
              </w:rPr>
              <w:t>：_________分</w:t>
            </w:r>
            <w:r>
              <w:rPr>
                <w:rFonts w:hint="eastAsia" w:asciiTheme="minorEastAsia" w:hAnsiTheme="minorEastAsia" w:cstheme="minorEastAsia"/>
                <w:szCs w:val="21"/>
              </w:rPr>
              <w:t>（满分40分）。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7"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center"/>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pPr>
              <w:spacing w:line="360" w:lineRule="atLeast"/>
              <w:ind w:firstLine="420"/>
              <w:rPr>
                <w:rFonts w:ascii="Times New Roman" w:hAnsi="Times New Roman" w:cs="Times New Roman"/>
                <w:szCs w:val="21"/>
              </w:rPr>
            </w:pPr>
            <w:r>
              <w:rPr>
                <w:rFonts w:ascii="Times New Roman" w:hAnsi="Times New Roman" w:cs="Times New Roman"/>
                <w:szCs w:val="21"/>
              </w:rPr>
              <w:t>在启封现场，采购人将当场计算并宣布评审基准价。</w:t>
            </w:r>
          </w:p>
          <w:p>
            <w:pPr>
              <w:spacing w:line="360" w:lineRule="atLeast"/>
              <w:ind w:firstLine="420"/>
              <w:rPr>
                <w:rFonts w:ascii="Times New Roman" w:hAnsi="Times New Roman" w:cs="Times New Roman"/>
                <w:szCs w:val="21"/>
              </w:rPr>
            </w:pPr>
            <w:r>
              <w:rPr>
                <w:rFonts w:ascii="Times New Roman" w:hAnsi="Times New Roman" w:cs="Times New Roman"/>
                <w:szCs w:val="21"/>
              </w:rPr>
              <w:t>（1）评审价的确定：</w:t>
            </w:r>
          </w:p>
          <w:p>
            <w:pPr>
              <w:spacing w:line="360" w:lineRule="atLeast"/>
              <w:ind w:firstLine="420"/>
              <w:rPr>
                <w:rFonts w:ascii="Times New Roman" w:hAnsi="Times New Roman" w:cs="Times New Roman"/>
                <w:szCs w:val="21"/>
              </w:rPr>
            </w:pPr>
            <w:r>
              <w:rPr>
                <w:rFonts w:ascii="Times New Roman" w:hAnsi="Times New Roman" w:cs="Times New Roman"/>
                <w:szCs w:val="21"/>
              </w:rPr>
              <w:t>评审价＝报价函文字报价</w:t>
            </w:r>
            <w:r>
              <w:rPr>
                <w:rFonts w:hint="eastAsia" w:ascii="Times New Roman" w:hAnsi="Times New Roman" w:cs="Times New Roman"/>
                <w:szCs w:val="21"/>
              </w:rPr>
              <w:t>（大小写不一致时以大写为准）</w:t>
            </w:r>
          </w:p>
          <w:p>
            <w:pPr>
              <w:spacing w:line="360" w:lineRule="atLeast"/>
              <w:ind w:firstLine="420"/>
              <w:rPr>
                <w:rFonts w:ascii="Times New Roman" w:hAnsi="Times New Roman" w:cs="Times New Roman"/>
                <w:szCs w:val="21"/>
              </w:rPr>
            </w:pPr>
            <w:r>
              <w:rPr>
                <w:rFonts w:ascii="Times New Roman" w:hAnsi="Times New Roman" w:cs="Times New Roman"/>
                <w:szCs w:val="21"/>
              </w:rPr>
              <w:t>（2）评审价平均值的计算</w:t>
            </w:r>
            <w:r>
              <w:rPr>
                <w:rFonts w:hint="eastAsia" w:ascii="Times New Roman" w:hAnsi="Times New Roman" w:cs="Times New Roman"/>
                <w:szCs w:val="21"/>
              </w:rPr>
              <w:t>（不适用方法三）</w:t>
            </w:r>
            <w:r>
              <w:rPr>
                <w:rFonts w:ascii="Times New Roman" w:hAnsi="Times New Roman" w:cs="Times New Roman"/>
                <w:szCs w:val="21"/>
              </w:rPr>
              <w:t>：</w:t>
            </w:r>
          </w:p>
          <w:p>
            <w:pPr>
              <w:spacing w:line="360" w:lineRule="atLeast"/>
              <w:ind w:firstLine="420"/>
              <w:rPr>
                <w:rFonts w:ascii="Times New Roman" w:hAnsi="Times New Roman" w:cs="Times New Roman"/>
                <w:szCs w:val="21"/>
              </w:rPr>
            </w:pPr>
            <w:r>
              <w:rPr>
                <w:rFonts w:ascii="Times New Roman" w:hAnsi="Times New Roman"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（3）评审基准价的确定 ：</w:t>
            </w:r>
          </w:p>
          <w:p>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kern w:val="0"/>
                <w:szCs w:val="21"/>
              </w:rPr>
              <w:t>☑</w:t>
            </w:r>
            <w:r>
              <w:rPr>
                <w:rFonts w:ascii="Times New Roman" w:hAnsi="Times New Roman" w:cs="Times New Roman"/>
                <w:color w:val="auto"/>
                <w:szCs w:val="21"/>
              </w:rPr>
              <w:t>方法一：将评审价平均值直接作为评审基准价。</w:t>
            </w:r>
          </w:p>
          <w:p>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方法二：将评审价平均值下浮__%，作为评审基准价。</w:t>
            </w:r>
          </w:p>
          <w:p>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kern w:val="0"/>
                <w:szCs w:val="21"/>
              </w:rPr>
              <w:t>□</w:t>
            </w:r>
            <w:r>
              <w:rPr>
                <w:rFonts w:ascii="Times New Roman" w:hAnsi="Times New Roman" w:cs="Times New Roman"/>
                <w:color w:val="auto"/>
                <w:szCs w:val="21"/>
              </w:rPr>
              <w:t>方法三：</w:t>
            </w:r>
            <w:r>
              <w:rPr>
                <w:rFonts w:hint="eastAsia" w:ascii="Times New Roman" w:hAnsi="Times New Roman" w:cs="Times New Roman"/>
                <w:color w:val="auto"/>
                <w:szCs w:val="21"/>
              </w:rPr>
              <w:t>将评审价中的最低值作为</w:t>
            </w:r>
            <w:r>
              <w:rPr>
                <w:rFonts w:ascii="Times New Roman" w:hAnsi="Times New Roman" w:cs="Times New Roman"/>
                <w:color w:val="auto"/>
                <w:szCs w:val="21"/>
              </w:rPr>
              <w:t>评审基准价</w:t>
            </w:r>
            <w:r>
              <w:rPr>
                <w:rFonts w:hint="eastAsia" w:ascii="Times New Roman" w:hAnsi="Times New Roman" w:cs="Times New Roman"/>
                <w:color w:val="auto"/>
                <w:szCs w:val="21"/>
              </w:rPr>
              <w:t>。</w:t>
            </w:r>
          </w:p>
          <w:p>
            <w:pPr>
              <w:spacing w:line="360" w:lineRule="atLeast"/>
              <w:ind w:firstLine="420"/>
              <w:rPr>
                <w:rFonts w:ascii="Times New Roman" w:hAnsi="Times New Roman" w:cs="Times New Roman"/>
                <w:szCs w:val="21"/>
              </w:rPr>
            </w:pPr>
            <w:r>
              <w:rPr>
                <w:rFonts w:ascii="Times New Roman" w:hAnsi="Times New Roman" w:cs="Times New Roman"/>
                <w:szCs w:val="21"/>
              </w:rPr>
              <w:t>在评审过程中，</w:t>
            </w:r>
            <w:r>
              <w:rPr>
                <w:rFonts w:hint="eastAsia" w:ascii="Times New Roman" w:hAnsi="Times New Roman" w:cs="Times New Roman"/>
                <w:szCs w:val="21"/>
              </w:rPr>
              <w:t>评审小组</w:t>
            </w:r>
            <w:r>
              <w:rPr>
                <w:rFonts w:ascii="Times New Roman" w:hAnsi="Times New Roman"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center"/>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cs="Times New Roman"/>
                <w:szCs w:val="21"/>
              </w:rPr>
            </w:pPr>
            <w:r>
              <w:rPr>
                <w:rFonts w:ascii="Times New Roman" w:hAnsi="Times New Roman" w:cs="Times New Roman"/>
                <w:szCs w:val="21"/>
              </w:rPr>
              <w:t>偏差率=100% ×（供应商评审价－评审基准价）/评审基准价</w:t>
            </w:r>
          </w:p>
          <w:p>
            <w:pPr>
              <w:spacing w:line="360" w:lineRule="atLeast"/>
              <w:ind w:firstLine="420"/>
              <w:rPr>
                <w:rFonts w:ascii="Times New Roman" w:hAnsi="Times New Roman" w:cs="Times New Roman"/>
                <w:szCs w:val="21"/>
              </w:rPr>
            </w:pPr>
            <w:r>
              <w:rPr>
                <w:rFonts w:ascii="Times New Roman" w:hAnsi="Times New Roman" w:cs="Times New Roman"/>
                <w:szCs w:val="21"/>
              </w:rPr>
              <w:t>偏差率保留</w:t>
            </w:r>
            <w:r>
              <w:rPr>
                <w:rFonts w:hint="eastAsia" w:ascii="Times New Roman" w:hAnsi="Times New Roman" w:cs="Times New Roman"/>
                <w:szCs w:val="21"/>
              </w:rPr>
              <w:t>两</w:t>
            </w:r>
            <w:r>
              <w:rPr>
                <w:rFonts w:ascii="Times New Roman" w:hAnsi="Times New Roman" w:cs="Times New Roman"/>
                <w:szCs w:val="21"/>
              </w:rPr>
              <w:t>位小数</w:t>
            </w:r>
          </w:p>
        </w:tc>
      </w:tr>
    </w:tbl>
    <w:p>
      <w:pPr>
        <w:jc w:val="right"/>
        <w:rPr>
          <w:rFonts w:ascii="Times New Roman" w:hAnsi="Times New Roman" w:cs="Times New Roman"/>
          <w:spacing w:val="4"/>
          <w:szCs w:val="21"/>
        </w:rPr>
      </w:pPr>
    </w:p>
    <w:p>
      <w:pPr>
        <w:jc w:val="left"/>
        <w:rPr>
          <w:rFonts w:ascii="Times New Roman" w:hAnsi="Times New Roman" w:cs="Times New Roman"/>
          <w:spacing w:val="4"/>
          <w:szCs w:val="21"/>
        </w:rPr>
      </w:pPr>
      <w:r>
        <w:rPr>
          <w:rFonts w:ascii="Times New Roman" w:hAnsi="Times New Roman" w:cs="Times New Roman"/>
          <w:spacing w:val="4"/>
          <w:szCs w:val="21"/>
        </w:rPr>
        <w:br w:type="page"/>
      </w:r>
    </w:p>
    <w:p>
      <w:pPr>
        <w:jc w:val="right"/>
        <w:rPr>
          <w:rFonts w:ascii="Times New Roman" w:hAnsi="Times New Roman" w:cs="Times New Roman"/>
        </w:rPr>
      </w:pPr>
      <w:r>
        <w:rPr>
          <w:rFonts w:ascii="Times New Roman" w:hAnsi="Times New Roman" w:cs="Times New Roman"/>
          <w:spacing w:val="4"/>
          <w:szCs w:val="21"/>
        </w:rPr>
        <w:t>续上表</w:t>
      </w:r>
    </w:p>
    <w:tbl>
      <w:tblPr>
        <w:tblStyle w:val="15"/>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446"/>
        <w:gridCol w:w="1194"/>
        <w:gridCol w:w="2877"/>
        <w:gridCol w:w="75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7433" w:type="dxa"/>
            <w:gridSpan w:val="5"/>
            <w:tcBorders>
              <w:top w:val="single" w:color="auto" w:sz="4" w:space="0"/>
            </w:tcBorders>
          </w:tcPr>
          <w:p>
            <w:pPr>
              <w:spacing w:line="380" w:lineRule="atLeast"/>
              <w:jc w:val="center"/>
              <w:rPr>
                <w:rFonts w:ascii="Times New Roman" w:hAnsi="Times New Roman" w:cs="Times New Roman"/>
                <w:b/>
                <w:szCs w:val="21"/>
              </w:rPr>
            </w:pPr>
            <w:r>
              <w:rPr>
                <w:rFonts w:ascii="Times New Roman" w:hAnsi="Times New Roman" w:cs="Times New Roman"/>
                <w:b/>
                <w:szCs w:val="21"/>
              </w:rPr>
              <w:t>评分因素与权重分值</w:t>
            </w:r>
          </w:p>
        </w:tc>
        <w:tc>
          <w:tcPr>
            <w:tcW w:w="1771" w:type="dxa"/>
            <w:vMerge w:val="restart"/>
            <w:tcBorders>
              <w:top w:val="single" w:color="auto" w:sz="4" w:space="0"/>
            </w:tcBorders>
            <w:vAlign w:val="center"/>
          </w:tcPr>
          <w:p>
            <w:pPr>
              <w:spacing w:line="380" w:lineRule="atLeast"/>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cs="Times New Roman"/>
                <w:b/>
                <w:szCs w:val="21"/>
              </w:rPr>
            </w:pPr>
            <w:r>
              <w:rPr>
                <w:rFonts w:ascii="Times New Roman" w:hAnsi="Times New Roman" w:cs="Times New Roman"/>
                <w:b/>
                <w:szCs w:val="21"/>
              </w:rPr>
              <w:t>条款号</w:t>
            </w:r>
          </w:p>
        </w:tc>
        <w:tc>
          <w:tcPr>
            <w:tcW w:w="1446" w:type="dxa"/>
            <w:vAlign w:val="center"/>
          </w:tcPr>
          <w:p>
            <w:pPr>
              <w:spacing w:line="380" w:lineRule="atLeast"/>
              <w:jc w:val="center"/>
              <w:rPr>
                <w:rFonts w:ascii="Times New Roman" w:hAnsi="Times New Roman" w:cs="Times New Roman"/>
                <w:b/>
                <w:szCs w:val="21"/>
              </w:rPr>
            </w:pPr>
            <w:r>
              <w:rPr>
                <w:rFonts w:ascii="Times New Roman" w:hAnsi="Times New Roman" w:cs="Times New Roman"/>
                <w:b/>
                <w:szCs w:val="21"/>
              </w:rPr>
              <w:t>评分因素</w:t>
            </w:r>
          </w:p>
        </w:tc>
        <w:tc>
          <w:tcPr>
            <w:tcW w:w="1194" w:type="dxa"/>
            <w:vAlign w:val="center"/>
          </w:tcPr>
          <w:p>
            <w:pPr>
              <w:spacing w:line="380" w:lineRule="atLeast"/>
              <w:ind w:left="-105" w:leftChars="-50" w:right="-105" w:rightChars="-50"/>
              <w:jc w:val="center"/>
              <w:rPr>
                <w:rFonts w:ascii="Times New Roman" w:hAnsi="Times New Roman" w:cs="Times New Roman"/>
                <w:b/>
                <w:szCs w:val="21"/>
              </w:rPr>
            </w:pPr>
            <w:r>
              <w:rPr>
                <w:rFonts w:ascii="Times New Roman" w:hAnsi="Times New Roman" w:cs="Times New Roman"/>
                <w:b/>
                <w:szCs w:val="21"/>
              </w:rPr>
              <w:t>评分因素权重分值</w:t>
            </w:r>
          </w:p>
        </w:tc>
        <w:tc>
          <w:tcPr>
            <w:tcW w:w="2877" w:type="dxa"/>
            <w:vAlign w:val="center"/>
          </w:tcPr>
          <w:p>
            <w:pPr>
              <w:spacing w:line="380" w:lineRule="atLeast"/>
              <w:jc w:val="center"/>
              <w:rPr>
                <w:rFonts w:ascii="Times New Roman" w:hAnsi="Times New Roman" w:cs="Times New Roman"/>
                <w:b/>
                <w:szCs w:val="21"/>
              </w:rPr>
            </w:pPr>
            <w:r>
              <w:rPr>
                <w:rFonts w:ascii="Times New Roman" w:hAnsi="Times New Roman" w:cs="Times New Roman"/>
                <w:b/>
                <w:szCs w:val="21"/>
              </w:rPr>
              <w:t>各评分因素细分项</w:t>
            </w:r>
          </w:p>
        </w:tc>
        <w:tc>
          <w:tcPr>
            <w:tcW w:w="756" w:type="dxa"/>
            <w:vAlign w:val="center"/>
          </w:tcPr>
          <w:p>
            <w:pPr>
              <w:spacing w:line="380" w:lineRule="atLeast"/>
              <w:jc w:val="center"/>
              <w:rPr>
                <w:rFonts w:ascii="Times New Roman" w:hAnsi="Times New Roman" w:cs="Times New Roman"/>
                <w:b/>
                <w:szCs w:val="21"/>
              </w:rPr>
            </w:pPr>
            <w:r>
              <w:rPr>
                <w:rFonts w:ascii="Times New Roman" w:hAnsi="Times New Roman" w:cs="Times New Roman"/>
                <w:b/>
                <w:szCs w:val="21"/>
              </w:rPr>
              <w:t>分值</w:t>
            </w:r>
          </w:p>
        </w:tc>
        <w:tc>
          <w:tcPr>
            <w:tcW w:w="1771" w:type="dxa"/>
            <w:vMerge w:val="continue"/>
          </w:tcPr>
          <w:p>
            <w:pPr>
              <w:spacing w:line="380" w:lineRule="atLeast"/>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160" w:type="dxa"/>
            <w:vMerge w:val="restart"/>
            <w:vAlign w:val="center"/>
          </w:tcPr>
          <w:p>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（1）</w:t>
            </w:r>
          </w:p>
        </w:tc>
        <w:tc>
          <w:tcPr>
            <w:tcW w:w="1446" w:type="dxa"/>
            <w:vMerge w:val="restart"/>
            <w:vAlign w:val="center"/>
          </w:tcPr>
          <w:p>
            <w:pPr>
              <w:spacing w:line="380" w:lineRule="atLeast"/>
              <w:jc w:val="center"/>
            </w:pPr>
            <w:r>
              <w:rPr>
                <w:rFonts w:hint="eastAsia"/>
              </w:rPr>
              <w:t>经营实力</w:t>
            </w:r>
          </w:p>
          <w:p>
            <w:pPr>
              <w:pStyle w:val="2"/>
              <w:ind w:left="4410"/>
            </w:pPr>
            <w:r>
              <w:rPr>
                <w:rFonts w:hint="eastAsia" w:asciiTheme="minorEastAsia" w:hAnsiTheme="minorEastAsia" w:cstheme="minorEastAsia"/>
                <w:color w:val="000000"/>
                <w:szCs w:val="27"/>
              </w:rPr>
              <w:t>(</w:t>
            </w:r>
          </w:p>
        </w:tc>
        <w:tc>
          <w:tcPr>
            <w:tcW w:w="1194" w:type="dxa"/>
            <w:vAlign w:val="center"/>
          </w:tcPr>
          <w:p>
            <w:pPr>
              <w:spacing w:line="380" w:lineRule="atLeast"/>
              <w:jc w:val="right"/>
              <w:rPr>
                <w:rFonts w:ascii="Times New Roman" w:hAnsi="Times New Roman" w:cs="Times New Roman"/>
                <w:szCs w:val="21"/>
                <w:u w:val="single"/>
              </w:rPr>
            </w:pPr>
            <w:r>
              <w:rPr>
                <w:rFonts w:hint="eastAsia"/>
                <w:szCs w:val="21"/>
              </w:rPr>
              <w:t>资质等级（10分）</w:t>
            </w:r>
          </w:p>
        </w:tc>
        <w:tc>
          <w:tcPr>
            <w:tcW w:w="5404" w:type="dxa"/>
            <w:gridSpan w:val="3"/>
            <w:vAlign w:val="center"/>
          </w:tcPr>
          <w:p>
            <w:pPr>
              <w:spacing w:line="380" w:lineRule="atLeast"/>
              <w:ind w:firstLine="420" w:firstLineChars="200"/>
              <w:jc w:val="both"/>
              <w:rPr>
                <w:szCs w:val="21"/>
              </w:rPr>
            </w:pPr>
            <w:r>
              <w:rPr>
                <w:rFonts w:hint="eastAsia"/>
                <w:szCs w:val="21"/>
              </w:rPr>
              <w:t>近三年（2018年1月1日以来）投标人被评为5A级的得10分；4A级的得8分；3A级的得6分。</w:t>
            </w:r>
          </w:p>
          <w:p>
            <w:pPr>
              <w:spacing w:line="380" w:lineRule="atLeast"/>
              <w:jc w:val="both"/>
              <w:rPr>
                <w:rFonts w:ascii="Times New Roman" w:hAnsi="Times New Roman" w:cs="Times New Roman"/>
                <w:szCs w:val="21"/>
              </w:rPr>
            </w:pPr>
            <w:r>
              <w:rPr>
                <w:rFonts w:hint="eastAsia"/>
                <w:b/>
                <w:bCs/>
                <w:szCs w:val="21"/>
              </w:rPr>
              <w:t>（注：须提供主管部门或行业协会的认定资料）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1160" w:type="dxa"/>
            <w:vMerge w:val="continue"/>
            <w:vAlign w:val="center"/>
          </w:tcPr>
          <w:p>
            <w:pPr>
              <w:spacing w:line="380" w:lineRule="atLeast"/>
              <w:jc w:val="center"/>
              <w:rPr>
                <w:rFonts w:ascii="Times New Roman" w:hAnsi="Times New Roman" w:cs="Times New Roman"/>
                <w:szCs w:val="21"/>
              </w:rPr>
            </w:pPr>
          </w:p>
        </w:tc>
        <w:tc>
          <w:tcPr>
            <w:tcW w:w="1446" w:type="dxa"/>
            <w:vMerge w:val="continue"/>
            <w:vAlign w:val="center"/>
          </w:tcPr>
          <w:p>
            <w:pPr>
              <w:spacing w:line="380" w:lineRule="atLeast"/>
              <w:jc w:val="center"/>
              <w:rPr>
                <w:rFonts w:asciiTheme="minorEastAsia" w:hAnsiTheme="minorEastAsia" w:cstheme="minorEastAsia"/>
                <w:color w:val="000000"/>
                <w:szCs w:val="27"/>
              </w:rPr>
            </w:pPr>
          </w:p>
        </w:tc>
        <w:tc>
          <w:tcPr>
            <w:tcW w:w="1194" w:type="dxa"/>
            <w:vAlign w:val="center"/>
          </w:tcPr>
          <w:p>
            <w:pPr>
              <w:spacing w:line="400" w:lineRule="exact"/>
              <w:rPr>
                <w:szCs w:val="21"/>
              </w:rPr>
            </w:pPr>
            <w:r>
              <w:rPr>
                <w:rFonts w:hint="eastAsia"/>
                <w:szCs w:val="21"/>
              </w:rPr>
              <w:t>企业业绩（10分）</w:t>
            </w:r>
          </w:p>
        </w:tc>
        <w:tc>
          <w:tcPr>
            <w:tcW w:w="5404" w:type="dxa"/>
            <w:gridSpan w:val="3"/>
            <w:vAlign w:val="center"/>
          </w:tcPr>
          <w:p>
            <w:pPr>
              <w:spacing w:line="400" w:lineRule="exact"/>
              <w:ind w:firstLine="420" w:firstLineChars="200"/>
              <w:rPr>
                <w:szCs w:val="21"/>
              </w:rPr>
            </w:pPr>
            <w:r>
              <w:rPr>
                <w:rFonts w:hint="eastAsia"/>
                <w:szCs w:val="21"/>
              </w:rPr>
              <w:t>2021年1月1日至响应文件递交截止日期（以合同签订时间为准），供应商主持完成过5个（含）以上，其中拟委任本项目的注册税务咨询师至少参加2个　　　　　　　　　　　　　　　　　　　　　　　　　　　　　　　　　　　　　　　　　　　　　　　　　　　　　　　　　　　　　　　　　　　　　　　　　　　　　　　　　　　　　　　　　　　　　　　　　　　　　　　　　　　　　　　　　　　　　　　　　　　个（含）以上合同金额2万元以上的税务咨询项目，满足要求的得基本分6分，不满足的得0分，在此基础上每增加一个项目加1分，最多加4分。</w:t>
            </w:r>
          </w:p>
          <w:p>
            <w:pPr>
              <w:spacing w:line="400" w:lineRule="exact"/>
              <w:rPr>
                <w:szCs w:val="21"/>
              </w:rPr>
            </w:pPr>
            <w:r>
              <w:rPr>
                <w:rFonts w:hint="eastAsia"/>
                <w:b/>
                <w:bCs/>
                <w:szCs w:val="21"/>
              </w:rPr>
              <w:t>(注：提供合同复印件)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1160" w:type="dxa"/>
            <w:vMerge w:val="continue"/>
            <w:vAlign w:val="center"/>
          </w:tcPr>
          <w:p>
            <w:pPr>
              <w:spacing w:line="380" w:lineRule="atLeast"/>
              <w:jc w:val="center"/>
              <w:rPr>
                <w:rFonts w:ascii="Times New Roman" w:hAnsi="Times New Roman" w:cs="Times New Roman"/>
                <w:szCs w:val="21"/>
              </w:rPr>
            </w:pPr>
          </w:p>
        </w:tc>
        <w:tc>
          <w:tcPr>
            <w:tcW w:w="1446" w:type="dxa"/>
            <w:vMerge w:val="continue"/>
            <w:vAlign w:val="center"/>
          </w:tcPr>
          <w:p>
            <w:pPr>
              <w:spacing w:line="380" w:lineRule="atLeast"/>
              <w:jc w:val="center"/>
              <w:rPr>
                <w:rFonts w:asciiTheme="minorEastAsia" w:hAnsiTheme="minorEastAsia" w:cstheme="minorEastAsia"/>
                <w:color w:val="000000"/>
                <w:szCs w:val="27"/>
              </w:rPr>
            </w:pPr>
          </w:p>
        </w:tc>
        <w:tc>
          <w:tcPr>
            <w:tcW w:w="1194" w:type="dxa"/>
            <w:vAlign w:val="center"/>
          </w:tcPr>
          <w:p>
            <w:pPr>
              <w:spacing w:line="400" w:lineRule="exact"/>
              <w:rPr>
                <w:szCs w:val="21"/>
              </w:rPr>
            </w:pPr>
            <w:r>
              <w:rPr>
                <w:rFonts w:hint="eastAsia"/>
                <w:szCs w:val="21"/>
              </w:rPr>
              <w:t>业内排名（10分）</w:t>
            </w:r>
          </w:p>
        </w:tc>
        <w:tc>
          <w:tcPr>
            <w:tcW w:w="5404" w:type="dxa"/>
            <w:gridSpan w:val="3"/>
            <w:vAlign w:val="center"/>
          </w:tcPr>
          <w:p>
            <w:pPr>
              <w:spacing w:line="400" w:lineRule="exact"/>
              <w:ind w:firstLine="420" w:firstLineChars="200"/>
              <w:rPr>
                <w:rFonts w:hint="default" w:eastAsiaTheme="minorEastAsia"/>
                <w:szCs w:val="21"/>
                <w:lang w:val="en-US" w:eastAsia="zh-CN"/>
              </w:rPr>
            </w:pPr>
            <w:r>
              <w:rPr>
                <w:rFonts w:hint="eastAsia"/>
                <w:szCs w:val="21"/>
              </w:rPr>
              <w:t>评委依据</w:t>
            </w:r>
            <w:r>
              <w:rPr>
                <w:rFonts w:hint="eastAsia"/>
                <w:szCs w:val="21"/>
                <w:lang w:val="en-US" w:eastAsia="zh-CN"/>
              </w:rPr>
              <w:t>响应</w:t>
            </w:r>
            <w:r>
              <w:rPr>
                <w:rFonts w:hint="eastAsia"/>
                <w:szCs w:val="21"/>
              </w:rPr>
              <w:t>人2021年税务师事务所</w:t>
            </w:r>
            <w:r>
              <w:rPr>
                <w:rFonts w:hint="eastAsia"/>
                <w:szCs w:val="21"/>
                <w:lang w:val="en-US" w:eastAsia="zh-CN"/>
              </w:rPr>
              <w:t>营业收入</w:t>
            </w:r>
            <w:r>
              <w:rPr>
                <w:rFonts w:hint="eastAsia"/>
                <w:szCs w:val="21"/>
              </w:rPr>
              <w:t>规模评价，收入规模5000</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万以上，得分10分；收入规模3000万</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lang w:val="en-US" w:eastAsia="zh-CN"/>
              </w:rPr>
              <w:t>-5000万元</w:t>
            </w:r>
            <w:r>
              <w:rPr>
                <w:rFonts w:hint="eastAsia"/>
                <w:szCs w:val="21"/>
              </w:rPr>
              <w:t>以上，得</w:t>
            </w:r>
            <w:r>
              <w:rPr>
                <w:rFonts w:hint="eastAsia"/>
                <w:szCs w:val="21"/>
                <w:lang w:val="en-US" w:eastAsia="zh-CN"/>
              </w:rPr>
              <w:t>8</w:t>
            </w:r>
            <w:r>
              <w:rPr>
                <w:rFonts w:hint="eastAsia"/>
                <w:szCs w:val="21"/>
              </w:rPr>
              <w:t>分；收入规模1000万</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lang w:val="en-US" w:eastAsia="zh-CN"/>
              </w:rPr>
              <w:t>-3000万</w:t>
            </w:r>
            <w:r>
              <w:rPr>
                <w:rFonts w:hint="eastAsia"/>
                <w:szCs w:val="21"/>
              </w:rPr>
              <w:t>以上，得</w:t>
            </w:r>
            <w:r>
              <w:rPr>
                <w:rFonts w:hint="eastAsia"/>
                <w:szCs w:val="21"/>
                <w:lang w:val="en-US" w:eastAsia="zh-CN"/>
              </w:rPr>
              <w:t>6</w:t>
            </w:r>
            <w:r>
              <w:rPr>
                <w:rFonts w:hint="eastAsia"/>
                <w:szCs w:val="21"/>
              </w:rPr>
              <w:t>分，收入规模1000万以下</w:t>
            </w:r>
            <w:r>
              <w:rPr>
                <w:rFonts w:hint="eastAsia"/>
                <w:szCs w:val="21"/>
                <w:lang w:val="en-US" w:eastAsia="zh-CN"/>
              </w:rPr>
              <w:t>得4分。</w:t>
            </w:r>
          </w:p>
          <w:p>
            <w:pPr>
              <w:spacing w:line="400" w:lineRule="exact"/>
              <w:rPr>
                <w:szCs w:val="21"/>
              </w:rPr>
            </w:pPr>
            <w:r>
              <w:rPr>
                <w:rFonts w:hint="eastAsia"/>
                <w:b/>
                <w:bCs/>
                <w:szCs w:val="21"/>
              </w:rPr>
              <w:t>（注：须提供税务局盖章的2021年12月增值税申报表为准）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60" w:type="dxa"/>
            <w:vMerge w:val="restart"/>
            <w:vAlign w:val="center"/>
          </w:tcPr>
          <w:p>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（2）</w:t>
            </w:r>
          </w:p>
        </w:tc>
        <w:tc>
          <w:tcPr>
            <w:tcW w:w="1446" w:type="dxa"/>
            <w:vMerge w:val="restart"/>
            <w:vAlign w:val="center"/>
          </w:tcPr>
          <w:p>
            <w:pPr>
              <w:spacing w:line="380" w:lineRule="atLeast"/>
              <w:jc w:val="center"/>
              <w:rPr>
                <w:rFonts w:ascii="Times New Roman" w:hAnsi="Times New Roman" w:cs="Times New Roman"/>
                <w:szCs w:val="21"/>
              </w:rPr>
            </w:pPr>
            <w:r>
              <w:rPr>
                <w:rFonts w:hint="eastAsia" w:asciiTheme="minorEastAsia" w:hAnsiTheme="minorEastAsia" w:cstheme="minorEastAsia"/>
                <w:color w:val="000000"/>
                <w:szCs w:val="27"/>
              </w:rPr>
              <w:t>项目团队实力</w:t>
            </w:r>
          </w:p>
        </w:tc>
        <w:tc>
          <w:tcPr>
            <w:tcW w:w="1194" w:type="dxa"/>
            <w:vAlign w:val="center"/>
          </w:tcPr>
          <w:p>
            <w:pPr>
              <w:spacing w:line="400" w:lineRule="exact"/>
              <w:rPr>
                <w:rFonts w:ascii="Times New Roman" w:hAnsi="Times New Roman" w:cs="Times New Roman"/>
                <w:szCs w:val="21"/>
              </w:rPr>
            </w:pPr>
            <w:r>
              <w:rPr>
                <w:rFonts w:hint="eastAsia"/>
                <w:szCs w:val="21"/>
              </w:rPr>
              <w:t>项目负责人（5分）</w:t>
            </w:r>
          </w:p>
        </w:tc>
        <w:tc>
          <w:tcPr>
            <w:tcW w:w="5404" w:type="dxa"/>
            <w:gridSpan w:val="3"/>
            <w:vAlign w:val="center"/>
          </w:tcPr>
          <w:p>
            <w:pPr>
              <w:spacing w:line="400" w:lineRule="exact"/>
              <w:ind w:firstLine="420" w:firstLineChars="200"/>
              <w:rPr>
                <w:rFonts w:ascii="Times New Roman" w:hAnsi="Times New Roman" w:cs="Times New Roman"/>
                <w:szCs w:val="21"/>
              </w:rPr>
            </w:pPr>
            <w:r>
              <w:rPr>
                <w:rFonts w:hint="eastAsia"/>
                <w:szCs w:val="21"/>
              </w:rPr>
              <w:t>拟任项目负责人涉税服务工作经验：在投标人企业取得注册满5年（含以上）的得5分，总分5分，未满5年的得3分。</w:t>
            </w:r>
            <w:r>
              <w:rPr>
                <w:rFonts w:hint="eastAsia"/>
                <w:b/>
                <w:bCs/>
                <w:szCs w:val="21"/>
              </w:rPr>
              <w:t>（注：提供相关证明材料或承诺书）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160" w:type="dxa"/>
            <w:vMerge w:val="continue"/>
            <w:vAlign w:val="center"/>
          </w:tcPr>
          <w:p>
            <w:pPr>
              <w:spacing w:line="380" w:lineRule="atLeast"/>
              <w:jc w:val="center"/>
              <w:rPr>
                <w:rFonts w:ascii="Times New Roman" w:hAnsi="Times New Roman" w:cs="Times New Roman"/>
                <w:szCs w:val="21"/>
              </w:rPr>
            </w:pPr>
          </w:p>
        </w:tc>
        <w:tc>
          <w:tcPr>
            <w:tcW w:w="1446" w:type="dxa"/>
            <w:vMerge w:val="continue"/>
            <w:vAlign w:val="center"/>
          </w:tcPr>
          <w:p>
            <w:pPr>
              <w:spacing w:line="380" w:lineRule="atLeast"/>
              <w:jc w:val="center"/>
              <w:rPr>
                <w:rFonts w:asciiTheme="minorEastAsia" w:hAnsiTheme="minorEastAsia" w:cstheme="minorEastAsia"/>
                <w:color w:val="000000"/>
                <w:szCs w:val="27"/>
              </w:rPr>
            </w:pPr>
          </w:p>
        </w:tc>
        <w:tc>
          <w:tcPr>
            <w:tcW w:w="1194" w:type="dxa"/>
            <w:vAlign w:val="center"/>
          </w:tcPr>
          <w:p>
            <w:pPr>
              <w:spacing w:line="400" w:lineRule="exact"/>
              <w:rPr>
                <w:rFonts w:ascii="Times New Roman" w:hAnsi="Times New Roman" w:cs="Times New Roman"/>
                <w:szCs w:val="21"/>
              </w:rPr>
            </w:pPr>
            <w:r>
              <w:rPr>
                <w:rFonts w:hint="eastAsia"/>
                <w:szCs w:val="21"/>
              </w:rPr>
              <w:t>其他人员（5分）</w:t>
            </w:r>
          </w:p>
        </w:tc>
        <w:tc>
          <w:tcPr>
            <w:tcW w:w="5404" w:type="dxa"/>
            <w:gridSpan w:val="3"/>
            <w:vAlign w:val="center"/>
          </w:tcPr>
          <w:p>
            <w:pPr>
              <w:spacing w:line="400" w:lineRule="exact"/>
              <w:ind w:firstLine="420" w:firstLineChars="200"/>
              <w:rPr>
                <w:rFonts w:ascii="Times New Roman" w:hAnsi="Times New Roman" w:cs="Times New Roman"/>
                <w:b/>
                <w:bCs/>
                <w:szCs w:val="21"/>
              </w:rPr>
            </w:pPr>
            <w:r>
              <w:rPr>
                <w:rFonts w:hint="eastAsia"/>
                <w:szCs w:val="21"/>
              </w:rPr>
              <w:t>根据项目组除拟任项目负责人外的其他人员配备数量、专业结构、职称结构、工作资历结构等，由评委综合评分。评委综合认定优的得5分，认定一般的得3分。本项满分5分。</w:t>
            </w:r>
            <w:r>
              <w:rPr>
                <w:rFonts w:hint="eastAsia"/>
                <w:b/>
                <w:bCs/>
                <w:szCs w:val="21"/>
              </w:rPr>
              <w:t>（注：需提供委派人员的工作简历并加盖公章）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1160" w:type="dxa"/>
            <w:vAlign w:val="center"/>
          </w:tcPr>
          <w:p>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（3）</w:t>
            </w:r>
          </w:p>
        </w:tc>
        <w:tc>
          <w:tcPr>
            <w:tcW w:w="1446" w:type="dxa"/>
            <w:vAlign w:val="center"/>
          </w:tcPr>
          <w:p>
            <w:pPr>
              <w:spacing w:line="380" w:lineRule="atLeast"/>
              <w:jc w:val="center"/>
              <w:rPr>
                <w:rFonts w:asciiTheme="minorEastAsia" w:hAnsiTheme="minorEastAsia" w:cstheme="minorEastAsia"/>
                <w:szCs w:val="21"/>
              </w:rPr>
            </w:pPr>
            <w:r>
              <w:rPr>
                <w:rFonts w:hint="eastAsia" w:asciiTheme="minorEastAsia" w:hAnsiTheme="minorEastAsia" w:cstheme="minorEastAsia"/>
                <w:szCs w:val="21"/>
              </w:rPr>
              <w:t>技术方案</w:t>
            </w:r>
          </w:p>
          <w:p>
            <w:pPr>
              <w:spacing w:line="380" w:lineRule="atLeast"/>
              <w:jc w:val="center"/>
              <w:rPr>
                <w:rFonts w:ascii="Times New Roman" w:hAnsi="Times New Roman" w:cs="Times New Roman"/>
                <w:szCs w:val="21"/>
              </w:rPr>
            </w:pPr>
          </w:p>
        </w:tc>
        <w:tc>
          <w:tcPr>
            <w:tcW w:w="1194" w:type="dxa"/>
            <w:vAlign w:val="center"/>
          </w:tcPr>
          <w:p>
            <w:pPr>
              <w:spacing w:line="380" w:lineRule="atLeast"/>
              <w:jc w:val="right"/>
              <w:rPr>
                <w:rFonts w:ascii="Times New Roman" w:hAnsi="Times New Roman" w:cs="Times New Roman"/>
                <w:szCs w:val="21"/>
              </w:rPr>
            </w:pPr>
            <w:r>
              <w:rPr>
                <w:rFonts w:hint="eastAsia" w:ascii="Times New Roman" w:hAnsi="Times New Roman" w:cs="Times New Roman"/>
                <w:szCs w:val="21"/>
              </w:rPr>
              <w:t>20</w:t>
            </w:r>
            <w:r>
              <w:rPr>
                <w:rFonts w:ascii="Times New Roman" w:hAnsi="Times New Roman" w:cs="Times New Roman"/>
                <w:szCs w:val="21"/>
              </w:rPr>
              <w:t>分</w:t>
            </w:r>
          </w:p>
        </w:tc>
        <w:tc>
          <w:tcPr>
            <w:tcW w:w="5404" w:type="dxa"/>
            <w:gridSpan w:val="3"/>
          </w:tcPr>
          <w:p>
            <w:pPr>
              <w:spacing w:line="400" w:lineRule="exact"/>
              <w:ind w:firstLine="420" w:firstLineChars="200"/>
            </w:pPr>
            <w:r>
              <w:rPr>
                <w:rFonts w:hint="eastAsia"/>
              </w:rPr>
              <w:t>根据供应商提供的技术方案与采购人税务咨询目标和需求吻合度情况进行综合评审，主要包括对项目理解是否准确、到位；对关键业务流程及控制点的识别是否到位、对工作重点分析是否到位、是否全面、合理、科学、适应及可操作；进度安排是否科学合理；工作成果是否符合项目目的；是否能够有效控制项目质量，项目整体是否具有系统性、合理性、科学性，并具有很强的可操作性，评审分为三个档次：</w:t>
            </w:r>
          </w:p>
          <w:p>
            <w:pPr>
              <w:spacing w:line="400" w:lineRule="exact"/>
            </w:pPr>
            <w:r>
              <w:rPr>
                <w:rFonts w:hint="eastAsia"/>
              </w:rPr>
              <w:t>优秀档次得分15-20分；</w:t>
            </w:r>
          </w:p>
          <w:p>
            <w:pPr>
              <w:spacing w:line="400" w:lineRule="exact"/>
            </w:pPr>
            <w:r>
              <w:rPr>
                <w:rFonts w:hint="eastAsia"/>
              </w:rPr>
              <w:t>良好档次得分10-15分；</w:t>
            </w:r>
          </w:p>
          <w:p>
            <w:pPr>
              <w:spacing w:line="400" w:lineRule="exact"/>
            </w:pPr>
            <w:r>
              <w:rPr>
                <w:rFonts w:hint="eastAsia"/>
              </w:rPr>
              <w:t>一般档次得分0-10分。</w:t>
            </w:r>
          </w:p>
          <w:p>
            <w:pPr>
              <w:spacing w:line="380" w:lineRule="atLeast"/>
              <w:rPr>
                <w:rFonts w:ascii="Times New Roman" w:hAnsi="Times New Roman" w:cs="Times New Roman"/>
                <w:szCs w:val="21"/>
              </w:rPr>
            </w:pPr>
            <w:r>
              <w:rPr>
                <w:rFonts w:hint="eastAsia" w:ascii="Times New Roman" w:hAnsi="Times New Roman" w:cs="Times New Roman"/>
                <w:b/>
                <w:bCs/>
                <w:szCs w:val="21"/>
              </w:rPr>
              <w:t>（注：由响应人自行编制技术方案并加盖响应人公章。）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1160" w:type="dxa"/>
            <w:vAlign w:val="center"/>
          </w:tcPr>
          <w:p>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（4）</w:t>
            </w:r>
          </w:p>
        </w:tc>
        <w:tc>
          <w:tcPr>
            <w:tcW w:w="1446" w:type="dxa"/>
            <w:vAlign w:val="center"/>
          </w:tcPr>
          <w:p>
            <w:pPr>
              <w:spacing w:line="380" w:lineRule="atLeast"/>
              <w:jc w:val="center"/>
              <w:rPr>
                <w:rFonts w:ascii="Times New Roman" w:hAnsi="Times New Roman" w:cs="Times New Roman"/>
                <w:szCs w:val="21"/>
              </w:rPr>
            </w:pPr>
            <w:r>
              <w:rPr>
                <w:rFonts w:ascii="Times New Roman" w:hAnsi="Times New Roman" w:cs="Times New Roman"/>
                <w:szCs w:val="21"/>
              </w:rPr>
              <w:t>评审价</w:t>
            </w:r>
          </w:p>
          <w:p>
            <w:pPr>
              <w:spacing w:line="380" w:lineRule="atLeast"/>
              <w:jc w:val="center"/>
              <w:rPr>
                <w:rFonts w:ascii="Times New Roman" w:hAnsi="Times New Roman" w:cs="Times New Roman"/>
                <w:szCs w:val="21"/>
              </w:rPr>
            </w:pPr>
          </w:p>
        </w:tc>
        <w:tc>
          <w:tcPr>
            <w:tcW w:w="1194" w:type="dxa"/>
            <w:vAlign w:val="center"/>
          </w:tcPr>
          <w:p>
            <w:pPr>
              <w:spacing w:line="380" w:lineRule="atLeast"/>
              <w:jc w:val="right"/>
              <w:rPr>
                <w:rFonts w:ascii="Times New Roman" w:hAnsi="Times New Roman" w:cs="Times New Roman"/>
                <w:szCs w:val="21"/>
              </w:rPr>
            </w:pPr>
            <w:r>
              <w:rPr>
                <w:rFonts w:hint="eastAsia" w:ascii="Times New Roman" w:hAnsi="Times New Roman" w:cs="Times New Roman"/>
                <w:szCs w:val="21"/>
              </w:rPr>
              <w:t>40</w:t>
            </w:r>
            <w:r>
              <w:rPr>
                <w:rFonts w:ascii="Times New Roman" w:hAnsi="Times New Roman" w:cs="Times New Roman"/>
                <w:szCs w:val="21"/>
              </w:rPr>
              <w:t>分</w:t>
            </w:r>
          </w:p>
        </w:tc>
        <w:tc>
          <w:tcPr>
            <w:tcW w:w="5404" w:type="dxa"/>
            <w:gridSpan w:val="3"/>
          </w:tcPr>
          <w:p>
            <w:pPr>
              <w:spacing w:line="380" w:lineRule="atLeast"/>
              <w:rPr>
                <w:rFonts w:ascii="Times New Roman" w:hAnsi="Times New Roman" w:cs="Times New Roman"/>
                <w:szCs w:val="21"/>
              </w:rPr>
            </w:pPr>
            <w:r>
              <w:rPr>
                <w:rFonts w:ascii="Times New Roman" w:hAnsi="Times New Roman" w:cs="Times New Roman"/>
                <w:szCs w:val="21"/>
              </w:rPr>
              <w:t>评审价得分计算公式示例：</w:t>
            </w:r>
          </w:p>
          <w:p>
            <w:pPr>
              <w:spacing w:line="380" w:lineRule="atLeast"/>
              <w:rPr>
                <w:rFonts w:ascii="Times New Roman" w:hAnsi="Times New Roman" w:cs="Times New Roman"/>
                <w:szCs w:val="21"/>
              </w:rPr>
            </w:pPr>
            <w:r>
              <w:rPr>
                <w:rFonts w:ascii="Times New Roman" w:hAnsi="Times New Roman" w:cs="Times New Roman"/>
                <w:szCs w:val="21"/>
              </w:rPr>
              <w:t>（1）如果供应商的评审价&gt;评审基准价，则评审价得分＝F－偏差率×100× E</w:t>
            </w:r>
            <w:r>
              <w:rPr>
                <w:rFonts w:ascii="Times New Roman" w:hAnsi="Times New Roman" w:cs="Times New Roman"/>
                <w:szCs w:val="21"/>
                <w:vertAlign w:val="subscript"/>
              </w:rPr>
              <w:t>1</w:t>
            </w:r>
            <w:r>
              <w:rPr>
                <w:rFonts w:ascii="Times New Roman" w:hAnsi="Times New Roman" w:cs="Times New Roman"/>
                <w:szCs w:val="21"/>
              </w:rPr>
              <w:t>；</w:t>
            </w:r>
          </w:p>
          <w:p>
            <w:pPr>
              <w:spacing w:line="380" w:lineRule="atLeast"/>
              <w:rPr>
                <w:rFonts w:ascii="Times New Roman" w:hAnsi="Times New Roman" w:cs="Times New Roman"/>
                <w:szCs w:val="21"/>
              </w:rPr>
            </w:pPr>
            <w:r>
              <w:rPr>
                <w:rFonts w:ascii="Times New Roman" w:hAnsi="Times New Roman" w:cs="Times New Roman"/>
                <w:szCs w:val="21"/>
              </w:rPr>
              <w:t>（2）如果供应商的评审价≤评审基准价，则评审价得分＝F＋偏差率× 100× E</w:t>
            </w:r>
            <w:r>
              <w:rPr>
                <w:rFonts w:ascii="Times New Roman" w:hAnsi="Times New Roman" w:cs="Times New Roman"/>
                <w:szCs w:val="21"/>
                <w:vertAlign w:val="subscript"/>
              </w:rPr>
              <w:t>2</w:t>
            </w:r>
            <w:r>
              <w:rPr>
                <w:rFonts w:ascii="Times New Roman" w:hAnsi="Times New Roman" w:cs="Times New Roman"/>
                <w:szCs w:val="21"/>
              </w:rPr>
              <w:t>。</w:t>
            </w:r>
          </w:p>
          <w:p>
            <w:pPr>
              <w:spacing w:line="380" w:lineRule="atLeast"/>
              <w:rPr>
                <w:rFonts w:ascii="Times New Roman" w:hAnsi="Times New Roman" w:cs="Times New Roman"/>
                <w:szCs w:val="21"/>
              </w:rPr>
            </w:pPr>
            <w:r>
              <w:rPr>
                <w:rFonts w:ascii="Times New Roman" w:hAnsi="Times New Roman" w:cs="Times New Roman"/>
                <w:szCs w:val="21"/>
              </w:rPr>
              <w:t>其中：F是评审价所占的权重分值，E</w:t>
            </w:r>
            <w:r>
              <w:rPr>
                <w:rFonts w:ascii="Times New Roman" w:hAnsi="Times New Roman" w:cs="Times New Roman"/>
                <w:szCs w:val="21"/>
                <w:vertAlign w:val="subscript"/>
              </w:rPr>
              <w:t>1</w:t>
            </w:r>
            <w:r>
              <w:rPr>
                <w:rFonts w:ascii="Times New Roman" w:hAnsi="Times New Roman" w:cs="Times New Roman"/>
                <w:szCs w:val="21"/>
              </w:rPr>
              <w:t>是评审价每高于评审基准价一个百分点的扣分值，分值</w:t>
            </w:r>
            <w:r>
              <w:rPr>
                <w:rFonts w:hint="eastAsia" w:ascii="Times New Roman" w:hAnsi="Times New Roman" w:cs="Times New Roman"/>
                <w:szCs w:val="21"/>
              </w:rPr>
              <w:t>为0.2分；</w:t>
            </w:r>
            <w:r>
              <w:rPr>
                <w:rFonts w:ascii="Times New Roman" w:hAnsi="Times New Roman" w:cs="Times New Roman"/>
                <w:szCs w:val="21"/>
              </w:rPr>
              <w:t>E</w:t>
            </w:r>
            <w:r>
              <w:rPr>
                <w:rFonts w:ascii="Times New Roman" w:hAnsi="Times New Roman" w:cs="Times New Roman"/>
                <w:szCs w:val="21"/>
                <w:vertAlign w:val="subscript"/>
              </w:rPr>
              <w:t>2</w:t>
            </w:r>
            <w:r>
              <w:rPr>
                <w:rFonts w:ascii="Times New Roman" w:hAnsi="Times New Roman" w:cs="Times New Roman"/>
                <w:szCs w:val="21"/>
              </w:rPr>
              <w:t>是评审价每低于评审基准价一个百分点的扣分值</w:t>
            </w:r>
            <w:r>
              <w:rPr>
                <w:rFonts w:hint="eastAsia" w:ascii="Times New Roman" w:hAnsi="Times New Roman" w:cs="Times New Roman"/>
                <w:szCs w:val="21"/>
              </w:rPr>
              <w:t>，</w:t>
            </w:r>
            <w:r>
              <w:rPr>
                <w:rFonts w:ascii="Times New Roman" w:hAnsi="Times New Roman" w:cs="Times New Roman"/>
                <w:szCs w:val="21"/>
              </w:rPr>
              <w:t>分值</w:t>
            </w:r>
            <w:r>
              <w:rPr>
                <w:rFonts w:hint="eastAsia" w:ascii="Times New Roman" w:hAnsi="Times New Roman" w:cs="Times New Roman"/>
                <w:szCs w:val="21"/>
              </w:rPr>
              <w:t>为0.</w:t>
            </w:r>
            <w:r>
              <w:rPr>
                <w:rFonts w:hint="eastAsia" w:ascii="Times New Roman" w:hAnsi="Times New Roman" w:cs="Times New Roman"/>
                <w:szCs w:val="21"/>
                <w:lang w:val="en-US" w:eastAsia="zh-CN"/>
              </w:rPr>
              <w:t>1</w:t>
            </w:r>
            <w:r>
              <w:rPr>
                <w:rFonts w:hint="eastAsia" w:ascii="Times New Roman" w:hAnsi="Times New Roman" w:cs="Times New Roman"/>
                <w:szCs w:val="21"/>
              </w:rPr>
              <w:t>分</w:t>
            </w:r>
            <w:r>
              <w:rPr>
                <w:rFonts w:ascii="Times New Roman" w:hAnsi="Times New Roman" w:cs="Times New Roman"/>
                <w:szCs w:val="21"/>
              </w:rPr>
              <w:t>；</w:t>
            </w:r>
            <w:r>
              <w:rPr>
                <w:rFonts w:hint="eastAsia" w:ascii="Times New Roman" w:hAnsi="Times New Roman" w:cs="Times New Roman"/>
                <w:szCs w:val="21"/>
              </w:rPr>
              <w:t>评审价得分最低为0分。</w:t>
            </w:r>
          </w:p>
          <w:p>
            <w:pPr>
              <w:spacing w:line="380" w:lineRule="atLeast"/>
              <w:rPr>
                <w:rFonts w:ascii="Times New Roman" w:hAnsi="Times New Roman" w:cs="Times New Roman"/>
                <w:szCs w:val="21"/>
              </w:rPr>
            </w:pPr>
            <w:r>
              <w:rPr>
                <w:rFonts w:hint="eastAsia" w:ascii="Times New Roman" w:hAnsi="Times New Roman" w:cs="Times New Roman"/>
                <w:b/>
                <w:bCs/>
                <w:szCs w:val="21"/>
              </w:rPr>
              <w:t>（注：按采购人提供的报价函格式提供并加盖响应人公章。）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widowControl/>
        <w:jc w:val="left"/>
        <w:rPr>
          <w:rFonts w:ascii="Times New Roman" w:hAnsi="Times New Roman" w:cs="Times New Roman"/>
          <w:szCs w:val="21"/>
        </w:rPr>
      </w:pP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heme="minorEastAsia" w:hAnsiTheme="minorEastAsia" w:cstheme="minorEastAsia"/>
          <w:color w:val="000000"/>
          <w:szCs w:val="27"/>
        </w:rPr>
        <w:t>经营实力</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heme="minorEastAsia" w:hAnsiTheme="minorEastAsia" w:cstheme="minorEastAsia"/>
          <w:color w:val="000000"/>
          <w:szCs w:val="27"/>
        </w:rPr>
        <w:t>项目团队实力</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heme="minorEastAsia" w:hAnsiTheme="minorEastAsia" w:cstheme="minorEastAsia"/>
          <w:szCs w:val="21"/>
        </w:rPr>
        <w:t>技术方案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heme="minorEastAsia" w:hAnsiTheme="minorEastAsia" w:cstheme="minorEastAsia"/>
          <w:color w:val="000000"/>
          <w:szCs w:val="27"/>
        </w:rPr>
        <w:t>经营实力</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heme="minorEastAsia" w:hAnsiTheme="minorEastAsia" w:cstheme="minorEastAsia"/>
          <w:color w:val="000000"/>
          <w:szCs w:val="27"/>
        </w:rPr>
        <w:t>项目团队实力</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heme="minorEastAsia" w:hAnsiTheme="minorEastAsia" w:cstheme="minorEastAsia"/>
          <w:szCs w:val="21"/>
        </w:rPr>
        <w:t>技术方案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服务期</w:t>
      </w:r>
      <w:r>
        <w:rPr>
          <w:rFonts w:ascii="Times New Roman" w:hAnsi="Times New Roman" w:cs="Times New Roman"/>
        </w:rPr>
        <w:t>、质量标准、安全目标前后不一致时，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w:t>
      </w:r>
      <w:r>
        <w:rPr>
          <w:rFonts w:hint="eastAsia" w:asciiTheme="minorEastAsia" w:hAnsiTheme="minorEastAsia" w:cstheme="minorEastAsia"/>
          <w:color w:val="000000"/>
          <w:szCs w:val="27"/>
        </w:rPr>
        <w:t>经营实力</w:t>
      </w:r>
      <w:r>
        <w:rPr>
          <w:rFonts w:ascii="Times New Roman" w:hAnsi="Times New Roman" w:cs="Times New Roman"/>
        </w:rPr>
        <w:t>计算出得分</w:t>
      </w:r>
      <w:r>
        <w:rPr>
          <w:rFonts w:hint="eastAsia" w:ascii="Times New Roman" w:hAnsi="Times New Roman" w:cs="Times New Roman"/>
        </w:rPr>
        <w:t>I</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（2）按本章第2.2.4(2)目规定的评审因素和分值对</w:t>
      </w:r>
      <w:r>
        <w:rPr>
          <w:rFonts w:hint="eastAsia" w:asciiTheme="minorEastAsia" w:hAnsiTheme="minorEastAsia" w:cstheme="minorEastAsia"/>
          <w:color w:val="000000"/>
          <w:szCs w:val="27"/>
        </w:rPr>
        <w:t>项目团队实力</w:t>
      </w:r>
      <w:r>
        <w:rPr>
          <w:rFonts w:ascii="Times New Roman" w:hAnsi="Times New Roman" w:cs="Times New Roman"/>
        </w:rPr>
        <w:t>计算出得分</w:t>
      </w:r>
      <w:r>
        <w:rPr>
          <w:rFonts w:hint="eastAsia" w:ascii="Times New Roman" w:hAnsi="Times New Roman" w:cs="Times New Roman"/>
        </w:rPr>
        <w:t>II</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（3）按本章第2.2.4(3)目规定的评审因素和分值对</w:t>
      </w:r>
      <w:r>
        <w:rPr>
          <w:rFonts w:hint="eastAsia" w:asciiTheme="minorEastAsia" w:hAnsiTheme="minorEastAsia" w:cstheme="minorEastAsia"/>
          <w:szCs w:val="21"/>
        </w:rPr>
        <w:t>技术方案</w:t>
      </w:r>
      <w:r>
        <w:rPr>
          <w:rFonts w:ascii="Times New Roman" w:hAnsi="Times New Roman" w:cs="Times New Roman"/>
        </w:rPr>
        <w:t>计算出得分</w:t>
      </w:r>
      <w:r>
        <w:rPr>
          <w:rFonts w:hint="eastAsia" w:ascii="Times New Roman" w:hAnsi="Times New Roman" w:cs="Times New Roman"/>
        </w:rPr>
        <w:t>III</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（4）按本章第2.2.4(4)目规定的评审因素和分值对</w:t>
      </w:r>
      <w:r>
        <w:rPr>
          <w:rFonts w:hint="eastAsia" w:ascii="Times New Roman" w:hAnsi="Times New Roman" w:cs="Times New Roman"/>
        </w:rPr>
        <w:t>评审价</w:t>
      </w:r>
      <w:r>
        <w:rPr>
          <w:rFonts w:ascii="Times New Roman" w:hAnsi="Times New Roman" w:cs="Times New Roman"/>
        </w:rPr>
        <w:t>计算出得分</w:t>
      </w:r>
      <w:r>
        <w:rPr>
          <w:rFonts w:hint="eastAsia" w:ascii="Times New Roman" w:hAnsi="Times New Roman" w:cs="Times New Roman"/>
        </w:rPr>
        <w:t>IV</w:t>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3.2.2 评分分值计算保留小数点后两位，小数点后第三位“四舍五入”。</w:t>
      </w:r>
    </w:p>
    <w:p>
      <w:pPr>
        <w:spacing w:line="400" w:lineRule="exact"/>
        <w:ind w:firstLine="420" w:firstLineChars="200"/>
        <w:rPr>
          <w:rFonts w:ascii="Times New Roman" w:hAnsi="Times New Roman" w:cs="Times New Roman"/>
        </w:rPr>
      </w:pPr>
      <w:r>
        <w:rPr>
          <w:rFonts w:ascii="Times New Roman" w:hAnsi="Times New Roman" w:cs="Times New Roman"/>
        </w:rPr>
        <w:t xml:space="preserve">3.2.3 </w:t>
      </w:r>
      <w:r>
        <w:rPr>
          <w:rFonts w:hint="eastAsia" w:ascii="Times New Roman" w:hAnsi="Times New Roman" w:cs="Times New Roman"/>
        </w:rPr>
        <w:t>评审小组成员对</w:t>
      </w:r>
      <w:r>
        <w:rPr>
          <w:rFonts w:ascii="Times New Roman" w:hAnsi="Times New Roman" w:cs="Times New Roman"/>
        </w:rPr>
        <w:t>供应商</w:t>
      </w:r>
      <w:r>
        <w:rPr>
          <w:rFonts w:hint="eastAsia" w:ascii="Times New Roman" w:hAnsi="Times New Roman" w:cs="Times New Roman"/>
        </w:rPr>
        <w:t>综合评分=I</w:t>
      </w:r>
      <w:r>
        <w:rPr>
          <w:rFonts w:ascii="Times New Roman" w:hAnsi="Times New Roman" w:cs="Times New Roman"/>
        </w:rPr>
        <w:t>+</w:t>
      </w:r>
      <w:r>
        <w:rPr>
          <w:rFonts w:hint="eastAsia" w:ascii="Times New Roman" w:hAnsi="Times New Roman" w:cs="Times New Roman"/>
        </w:rPr>
        <w:t>II</w:t>
      </w:r>
      <w:r>
        <w:rPr>
          <w:rFonts w:ascii="Times New Roman" w:hAnsi="Times New Roman" w:cs="Times New Roman"/>
        </w:rPr>
        <w:t>+</w:t>
      </w:r>
      <w:r>
        <w:rPr>
          <w:rFonts w:hint="eastAsia" w:ascii="Times New Roman" w:hAnsi="Times New Roman" w:cs="Times New Roman"/>
        </w:rPr>
        <w:t>III</w:t>
      </w:r>
      <w:r>
        <w:rPr>
          <w:rFonts w:ascii="Times New Roman" w:hAnsi="Times New Roman" w:cs="Times New Roman"/>
        </w:rPr>
        <w:t>+</w:t>
      </w:r>
      <w:r>
        <w:rPr>
          <w:rFonts w:hint="eastAsia" w:ascii="Times New Roman" w:hAnsi="Times New Roman" w:cs="Times New Roman"/>
        </w:rPr>
        <w:t>IV，供应商最终得分为各评审小组成员评分的算数平均值</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pStyle w:val="6"/>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pStyle w:val="3"/>
        <w:numPr>
          <w:ilvl w:val="0"/>
          <w:numId w:val="3"/>
        </w:numPr>
        <w:spacing w:before="312" w:after="312"/>
        <w:ind w:firstLine="0"/>
        <w:rPr>
          <w:rFonts w:ascii="Times New Roman" w:hAnsi="Times New Roman" w:eastAsia="宋体" w:cs="Times New Roman"/>
        </w:rPr>
      </w:pPr>
      <w:bookmarkStart w:id="91" w:name="_Toc31418"/>
      <w:r>
        <w:rPr>
          <w:rFonts w:ascii="Times New Roman" w:hAnsi="Times New Roman" w:eastAsia="宋体" w:cs="Times New Roman"/>
        </w:rPr>
        <w:t>合同内容</w:t>
      </w:r>
      <w:bookmarkEnd w:id="91"/>
    </w:p>
    <w:p>
      <w:pPr>
        <w:jc w:val="center"/>
        <w:rPr>
          <w:rFonts w:ascii="宋体" w:hAnsi="宋体" w:cs="宋体"/>
          <w:b/>
          <w:bCs/>
          <w:sz w:val="24"/>
        </w:rPr>
      </w:pPr>
      <w:r>
        <w:rPr>
          <w:rFonts w:hint="eastAsia" w:ascii="Times New Roman" w:hAnsi="Times New Roman" w:cs="Times New Roman"/>
          <w:b/>
          <w:bCs/>
          <w:sz w:val="24"/>
        </w:rPr>
        <w:t>安徽</w:t>
      </w:r>
      <w:r>
        <w:rPr>
          <w:rFonts w:hint="eastAsia" w:ascii="宋体" w:hAnsi="宋体" w:cs="宋体"/>
          <w:b/>
          <w:bCs/>
          <w:sz w:val="24"/>
        </w:rPr>
        <w:t>皖运保险代理有限公司相关税务咨询服务合同</w:t>
      </w:r>
    </w:p>
    <w:p/>
    <w:p>
      <w:pPr>
        <w:spacing w:line="360" w:lineRule="exact"/>
        <w:rPr>
          <w:rFonts w:ascii="宋体" w:hAnsi="宋体"/>
          <w:color w:val="000000"/>
          <w:szCs w:val="28"/>
        </w:rPr>
      </w:pPr>
      <w:r>
        <w:rPr>
          <w:rFonts w:hint="eastAsia" w:ascii="宋体" w:hAnsi="宋体"/>
          <w:color w:val="000000"/>
          <w:szCs w:val="28"/>
        </w:rPr>
        <w:t xml:space="preserve">合同编号： </w:t>
      </w:r>
      <w:r>
        <w:rPr>
          <w:rFonts w:hint="eastAsia" w:ascii="宋体" w:hAnsi="宋体"/>
          <w:color w:val="000000"/>
          <w:szCs w:val="28"/>
          <w:lang w:val="en-US" w:eastAsia="zh-CN"/>
        </w:rPr>
        <w:t xml:space="preserve">                                </w:t>
      </w:r>
      <w:r>
        <w:rPr>
          <w:rFonts w:hint="eastAsia" w:ascii="宋体" w:hAnsi="宋体"/>
          <w:color w:val="000000"/>
          <w:szCs w:val="28"/>
        </w:rPr>
        <w:t xml:space="preserve"> 签订地点：</w:t>
      </w:r>
    </w:p>
    <w:p>
      <w:pPr>
        <w:spacing w:line="360" w:lineRule="exact"/>
        <w:rPr>
          <w:rFonts w:ascii="宋体" w:hAnsi="宋体"/>
          <w:color w:val="000000"/>
          <w:szCs w:val="28"/>
        </w:rPr>
      </w:pPr>
    </w:p>
    <w:tbl>
      <w:tblPr>
        <w:tblStyle w:val="15"/>
        <w:tblW w:w="96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8"/>
        <w:gridCol w:w="3587"/>
        <w:gridCol w:w="1374"/>
        <w:gridCol w:w="3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甲方名称</w:t>
            </w:r>
          </w:p>
        </w:tc>
        <w:tc>
          <w:tcPr>
            <w:tcW w:w="3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乙方名称</w:t>
            </w:r>
          </w:p>
        </w:tc>
        <w:tc>
          <w:tcPr>
            <w:tcW w:w="33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地　　址</w:t>
            </w:r>
          </w:p>
        </w:tc>
        <w:tc>
          <w:tcPr>
            <w:tcW w:w="35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地　　址</w:t>
            </w:r>
          </w:p>
        </w:tc>
        <w:tc>
          <w:tcPr>
            <w:tcW w:w="33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联 系 人</w:t>
            </w:r>
          </w:p>
        </w:tc>
        <w:tc>
          <w:tcPr>
            <w:tcW w:w="3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联 系 人</w:t>
            </w:r>
          </w:p>
        </w:tc>
        <w:tc>
          <w:tcPr>
            <w:tcW w:w="331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电话</w:t>
            </w:r>
          </w:p>
        </w:tc>
        <w:tc>
          <w:tcPr>
            <w:tcW w:w="3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电话</w:t>
            </w:r>
          </w:p>
        </w:tc>
        <w:tc>
          <w:tcPr>
            <w:tcW w:w="331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开 户 行</w:t>
            </w:r>
          </w:p>
        </w:tc>
        <w:tc>
          <w:tcPr>
            <w:tcW w:w="3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开 户 行</w:t>
            </w:r>
          </w:p>
        </w:tc>
        <w:tc>
          <w:tcPr>
            <w:tcW w:w="331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帐号</w:t>
            </w:r>
          </w:p>
        </w:tc>
        <w:tc>
          <w:tcPr>
            <w:tcW w:w="3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8"/>
              </w:rPr>
            </w:pPr>
            <w:r>
              <w:rPr>
                <w:rFonts w:hint="eastAsia" w:ascii="宋体" w:hAnsi="宋体"/>
                <w:color w:val="000000"/>
                <w:szCs w:val="28"/>
              </w:rPr>
              <w:t>帐号</w:t>
            </w:r>
          </w:p>
        </w:tc>
        <w:tc>
          <w:tcPr>
            <w:tcW w:w="331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szCs w:val="28"/>
              </w:rPr>
            </w:pPr>
          </w:p>
        </w:tc>
      </w:tr>
    </w:tbl>
    <w:p>
      <w:pPr>
        <w:spacing w:line="480" w:lineRule="auto"/>
        <w:ind w:firstLine="420" w:firstLineChars="200"/>
        <w:rPr>
          <w:rFonts w:ascii="宋体" w:hAnsi="宋体"/>
          <w:color w:val="000000"/>
          <w:szCs w:val="28"/>
        </w:rPr>
      </w:pPr>
      <w:r>
        <w:rPr>
          <w:rFonts w:hint="eastAsia" w:ascii="宋体" w:hAnsi="宋体"/>
          <w:color w:val="000000"/>
          <w:szCs w:val="28"/>
        </w:rPr>
        <w:t>甲方通过询比方式选择乙方提供税务咨询服务。甲乙双方根据《中华人民共和国民法典》及相关法律规定，经友好协商，签订本合同。</w:t>
      </w:r>
    </w:p>
    <w:p>
      <w:pPr>
        <w:spacing w:line="480" w:lineRule="auto"/>
        <w:rPr>
          <w:rFonts w:ascii="宋体" w:hAnsi="宋体"/>
          <w:b/>
          <w:color w:val="000000"/>
          <w:szCs w:val="28"/>
        </w:rPr>
      </w:pPr>
      <w:r>
        <w:rPr>
          <w:rFonts w:hint="eastAsia" w:ascii="宋体" w:hAnsi="宋体"/>
          <w:b/>
          <w:color w:val="000000"/>
          <w:szCs w:val="28"/>
        </w:rPr>
        <w:t>第一条  服务期限及合同金额</w:t>
      </w:r>
    </w:p>
    <w:p>
      <w:pPr>
        <w:spacing w:line="480" w:lineRule="auto"/>
        <w:ind w:firstLine="420" w:firstLineChars="200"/>
        <w:rPr>
          <w:rFonts w:ascii="宋体" w:hAnsi="宋体"/>
          <w:color w:val="000000"/>
          <w:szCs w:val="28"/>
        </w:rPr>
      </w:pPr>
      <w:r>
        <w:rPr>
          <w:rFonts w:hint="eastAsia" w:ascii="宋体" w:hAnsi="宋体"/>
          <w:szCs w:val="28"/>
        </w:rPr>
        <w:t>本合同的服务时间为：20</w:t>
      </w:r>
      <w:r>
        <w:rPr>
          <w:rFonts w:ascii="宋体" w:hAnsi="宋体"/>
          <w:szCs w:val="28"/>
        </w:rPr>
        <w:t>22</w:t>
      </w:r>
      <w:r>
        <w:rPr>
          <w:rFonts w:hint="eastAsia" w:ascii="宋体" w:hAnsi="宋体"/>
          <w:szCs w:val="28"/>
        </w:rPr>
        <w:t>年</w:t>
      </w:r>
      <w:r>
        <w:rPr>
          <w:rFonts w:hint="eastAsia" w:ascii="宋体" w:hAnsi="宋体"/>
          <w:szCs w:val="28"/>
          <w:u w:val="single"/>
          <w:lang w:val="en-US" w:eastAsia="zh-CN"/>
        </w:rPr>
        <w:t xml:space="preserve">    </w:t>
      </w:r>
      <w:r>
        <w:rPr>
          <w:rFonts w:hint="eastAsia" w:ascii="宋体" w:hAnsi="宋体"/>
          <w:szCs w:val="28"/>
        </w:rPr>
        <w:t>月</w:t>
      </w:r>
      <w:r>
        <w:rPr>
          <w:rFonts w:hint="eastAsia" w:ascii="宋体" w:hAnsi="宋体"/>
          <w:szCs w:val="28"/>
          <w:u w:val="single"/>
          <w:lang w:val="en-US" w:eastAsia="zh-CN"/>
        </w:rPr>
        <w:t xml:space="preserve">    </w:t>
      </w:r>
      <w:r>
        <w:rPr>
          <w:rFonts w:hint="eastAsia" w:ascii="宋体" w:hAnsi="宋体"/>
          <w:szCs w:val="28"/>
        </w:rPr>
        <w:t>日至20</w:t>
      </w:r>
      <w:r>
        <w:rPr>
          <w:rFonts w:ascii="宋体" w:hAnsi="宋体"/>
          <w:szCs w:val="28"/>
        </w:rPr>
        <w:t>23</w:t>
      </w:r>
      <w:r>
        <w:rPr>
          <w:rFonts w:hint="eastAsia" w:ascii="宋体" w:hAnsi="宋体"/>
          <w:szCs w:val="28"/>
        </w:rPr>
        <w:t>年</w:t>
      </w:r>
      <w:r>
        <w:rPr>
          <w:rFonts w:hint="eastAsia" w:ascii="宋体" w:hAnsi="宋体"/>
          <w:szCs w:val="28"/>
          <w:u w:val="single"/>
          <w:lang w:val="en-US" w:eastAsia="zh-CN"/>
        </w:rPr>
        <w:t xml:space="preserve">    </w:t>
      </w:r>
      <w:r>
        <w:rPr>
          <w:rFonts w:hint="eastAsia" w:ascii="宋体" w:hAnsi="宋体"/>
          <w:szCs w:val="28"/>
        </w:rPr>
        <w:t>月</w:t>
      </w:r>
      <w:r>
        <w:rPr>
          <w:rFonts w:hint="eastAsia" w:ascii="宋体" w:hAnsi="宋体"/>
          <w:szCs w:val="28"/>
          <w:u w:val="single"/>
          <w:lang w:val="en-US" w:eastAsia="zh-CN"/>
        </w:rPr>
        <w:t xml:space="preserve">    </w:t>
      </w:r>
      <w:r>
        <w:rPr>
          <w:rFonts w:hint="eastAsia" w:ascii="宋体" w:hAnsi="宋体"/>
          <w:szCs w:val="28"/>
        </w:rPr>
        <w:t>日止。</w:t>
      </w:r>
    </w:p>
    <w:p>
      <w:pPr>
        <w:spacing w:line="480" w:lineRule="auto"/>
        <w:ind w:firstLine="420" w:firstLineChars="200"/>
        <w:rPr>
          <w:rFonts w:ascii="宋体" w:hAnsi="宋体"/>
          <w:color w:val="000000"/>
          <w:szCs w:val="28"/>
        </w:rPr>
      </w:pPr>
      <w:r>
        <w:rPr>
          <w:rFonts w:hint="eastAsia" w:ascii="宋体" w:hAnsi="宋体"/>
          <w:color w:val="000000"/>
          <w:szCs w:val="28"/>
        </w:rPr>
        <w:t>合同总额为（人民币大写）</w:t>
      </w:r>
      <w:r>
        <w:rPr>
          <w:rFonts w:hint="eastAsia" w:ascii="宋体" w:hAnsi="宋体"/>
          <w:color w:val="000000"/>
          <w:szCs w:val="28"/>
          <w:u w:val="single"/>
        </w:rPr>
        <w:t xml:space="preserve">     　　　　　　　  整（小写：</w:t>
      </w:r>
      <w:r>
        <w:rPr>
          <w:rFonts w:hint="eastAsia" w:ascii="宋体" w:hAnsi="宋体"/>
          <w:szCs w:val="28"/>
          <w:u w:val="single"/>
        </w:rPr>
        <w:t>￥</w:t>
      </w:r>
      <w:r>
        <w:rPr>
          <w:rFonts w:hint="eastAsia" w:ascii="宋体" w:hAnsi="宋体"/>
          <w:b/>
          <w:color w:val="000000"/>
          <w:szCs w:val="28"/>
          <w:u w:val="single"/>
        </w:rPr>
        <w:t xml:space="preserve">         </w:t>
      </w:r>
      <w:r>
        <w:rPr>
          <w:rFonts w:hint="eastAsia" w:ascii="宋体" w:hAnsi="宋体"/>
          <w:color w:val="000000"/>
          <w:szCs w:val="28"/>
          <w:u w:val="single"/>
        </w:rPr>
        <w:t>元）</w:t>
      </w:r>
      <w:r>
        <w:rPr>
          <w:rFonts w:hint="eastAsia" w:ascii="宋体" w:hAnsi="宋体"/>
          <w:color w:val="000000"/>
          <w:szCs w:val="28"/>
        </w:rPr>
        <w:t>。</w:t>
      </w:r>
    </w:p>
    <w:p>
      <w:pPr>
        <w:tabs>
          <w:tab w:val="left" w:pos="765"/>
        </w:tabs>
        <w:spacing w:line="480" w:lineRule="auto"/>
        <w:rPr>
          <w:rFonts w:ascii="宋体" w:hAnsi="宋体"/>
          <w:szCs w:val="28"/>
        </w:rPr>
      </w:pPr>
      <w:r>
        <w:rPr>
          <w:rFonts w:hint="eastAsia" w:ascii="宋体" w:hAnsi="宋体"/>
          <w:b/>
          <w:color w:val="000000"/>
          <w:szCs w:val="28"/>
        </w:rPr>
        <w:t xml:space="preserve">第二条  </w:t>
      </w:r>
      <w:r>
        <w:rPr>
          <w:rFonts w:hint="eastAsia" w:ascii="宋体" w:hAnsi="宋体"/>
          <w:b/>
          <w:szCs w:val="28"/>
        </w:rPr>
        <w:t>合同组成文件</w:t>
      </w:r>
    </w:p>
    <w:p>
      <w:pPr>
        <w:tabs>
          <w:tab w:val="left" w:pos="765"/>
          <w:tab w:val="left" w:pos="1260"/>
        </w:tabs>
        <w:spacing w:line="480" w:lineRule="auto"/>
        <w:ind w:firstLine="420" w:firstLineChars="200"/>
        <w:rPr>
          <w:rFonts w:ascii="宋体" w:hAnsi="宋体"/>
          <w:szCs w:val="28"/>
        </w:rPr>
      </w:pPr>
      <w:r>
        <w:rPr>
          <w:rFonts w:hint="eastAsia" w:ascii="宋体" w:hAnsi="宋体"/>
          <w:szCs w:val="28"/>
        </w:rPr>
        <w:t>下列文件是构成合同不可分割的部分，并与本合同具有同等法律效力</w:t>
      </w:r>
    </w:p>
    <w:p>
      <w:pPr>
        <w:tabs>
          <w:tab w:val="left" w:pos="765"/>
          <w:tab w:val="left" w:pos="1260"/>
        </w:tabs>
        <w:spacing w:line="480" w:lineRule="auto"/>
        <w:ind w:firstLine="420" w:firstLineChars="200"/>
        <w:rPr>
          <w:rFonts w:ascii="宋体" w:hAnsi="宋体"/>
          <w:szCs w:val="28"/>
        </w:rPr>
      </w:pPr>
      <w:r>
        <w:rPr>
          <w:rFonts w:hint="eastAsia" w:ascii="宋体" w:hAnsi="宋体"/>
          <w:szCs w:val="28"/>
        </w:rPr>
        <w:t>1.本次询比文件</w:t>
      </w:r>
    </w:p>
    <w:p>
      <w:pPr>
        <w:tabs>
          <w:tab w:val="left" w:pos="765"/>
          <w:tab w:val="left" w:pos="1260"/>
        </w:tabs>
        <w:spacing w:line="480" w:lineRule="auto"/>
        <w:ind w:firstLine="420" w:firstLineChars="200"/>
        <w:rPr>
          <w:rFonts w:ascii="宋体" w:hAnsi="宋体"/>
          <w:szCs w:val="28"/>
        </w:rPr>
      </w:pPr>
      <w:r>
        <w:rPr>
          <w:rFonts w:hint="eastAsia" w:ascii="宋体" w:hAnsi="宋体"/>
          <w:szCs w:val="28"/>
        </w:rPr>
        <w:t>2.乙方提交的响应文件</w:t>
      </w:r>
    </w:p>
    <w:p>
      <w:pPr>
        <w:tabs>
          <w:tab w:val="left" w:pos="765"/>
          <w:tab w:val="left" w:pos="1260"/>
        </w:tabs>
        <w:spacing w:line="480" w:lineRule="auto"/>
        <w:ind w:firstLine="420" w:firstLineChars="200"/>
        <w:rPr>
          <w:rFonts w:ascii="宋体" w:hAnsi="宋体"/>
          <w:szCs w:val="28"/>
        </w:rPr>
      </w:pPr>
      <w:r>
        <w:rPr>
          <w:rFonts w:hint="eastAsia" w:ascii="宋体" w:hAnsi="宋体"/>
          <w:szCs w:val="28"/>
        </w:rPr>
        <w:t>3.乙方响应文件的其他资料及承诺</w:t>
      </w:r>
    </w:p>
    <w:p>
      <w:pPr>
        <w:spacing w:line="480" w:lineRule="auto"/>
        <w:rPr>
          <w:rFonts w:ascii="宋体" w:hAnsi="宋体"/>
          <w:b/>
          <w:bCs/>
          <w:color w:val="000000"/>
          <w:szCs w:val="28"/>
        </w:rPr>
      </w:pPr>
      <w:r>
        <w:rPr>
          <w:rFonts w:hint="eastAsia" w:ascii="宋体" w:hAnsi="宋体"/>
          <w:b/>
          <w:color w:val="000000"/>
          <w:szCs w:val="28"/>
        </w:rPr>
        <w:t xml:space="preserve">第三条  </w:t>
      </w:r>
      <w:r>
        <w:rPr>
          <w:rFonts w:hint="eastAsia" w:ascii="宋体" w:hAnsi="宋体"/>
          <w:b/>
          <w:bCs/>
          <w:color w:val="000000"/>
          <w:szCs w:val="28"/>
        </w:rPr>
        <w:t>付款方式</w:t>
      </w:r>
    </w:p>
    <w:p>
      <w:pPr>
        <w:spacing w:line="480" w:lineRule="auto"/>
        <w:ind w:firstLine="420" w:firstLineChars="200"/>
        <w:rPr>
          <w:rFonts w:ascii="宋体" w:hAnsi="宋体"/>
          <w:bCs/>
          <w:color w:val="000000"/>
          <w:szCs w:val="28"/>
        </w:rPr>
      </w:pPr>
      <w:r>
        <w:rPr>
          <w:rFonts w:hint="eastAsia" w:ascii="宋体" w:hAnsi="宋体"/>
          <w:bCs/>
          <w:color w:val="000000"/>
          <w:szCs w:val="28"/>
        </w:rPr>
        <w:t>合同签订之日起7日内，甲方向乙方支付总费用的</w:t>
      </w:r>
      <w:r>
        <w:rPr>
          <w:rFonts w:hint="eastAsia" w:ascii="宋体" w:hAnsi="宋体"/>
          <w:bCs/>
          <w:color w:val="000000"/>
          <w:szCs w:val="28"/>
          <w:lang w:val="en-US" w:eastAsia="zh-CN"/>
        </w:rPr>
        <w:t>50</w:t>
      </w:r>
      <w:r>
        <w:rPr>
          <w:rFonts w:hint="eastAsia" w:ascii="宋体" w:hAnsi="宋体"/>
          <w:bCs/>
          <w:color w:val="000000"/>
          <w:szCs w:val="28"/>
        </w:rPr>
        <w:t>%，即人民币</w:t>
      </w:r>
      <w:r>
        <w:rPr>
          <w:rFonts w:hint="eastAsia" w:ascii="宋体" w:hAnsi="宋体"/>
          <w:bCs/>
          <w:color w:val="000000"/>
          <w:szCs w:val="28"/>
          <w:u w:val="single"/>
          <w:lang w:val="en-US" w:eastAsia="zh-CN"/>
        </w:rPr>
        <w:t xml:space="preserve">      </w:t>
      </w:r>
      <w:r>
        <w:rPr>
          <w:rFonts w:hint="eastAsia" w:ascii="宋体" w:hAnsi="宋体"/>
          <w:bCs/>
          <w:color w:val="000000"/>
          <w:szCs w:val="28"/>
        </w:rPr>
        <w:t>元；项目结束后7日内一次性向乙方支付</w:t>
      </w:r>
      <w:r>
        <w:rPr>
          <w:rFonts w:hint="eastAsia" w:ascii="宋体" w:hAnsi="宋体"/>
          <w:bCs/>
          <w:color w:val="000000"/>
          <w:szCs w:val="28"/>
          <w:lang w:eastAsia="zh-CN"/>
        </w:rPr>
        <w:t>剩余</w:t>
      </w:r>
      <w:r>
        <w:rPr>
          <w:rFonts w:hint="eastAsia" w:ascii="宋体" w:hAnsi="宋体"/>
          <w:bCs/>
          <w:color w:val="000000"/>
          <w:szCs w:val="28"/>
          <w:lang w:val="en-US" w:eastAsia="zh-CN"/>
        </w:rPr>
        <w:t>50%</w:t>
      </w:r>
      <w:r>
        <w:rPr>
          <w:rFonts w:hint="eastAsia" w:ascii="宋体" w:hAnsi="宋体"/>
          <w:bCs/>
          <w:color w:val="000000"/>
          <w:szCs w:val="28"/>
        </w:rPr>
        <w:t>全部价款，即人民币</w:t>
      </w:r>
      <w:r>
        <w:rPr>
          <w:rFonts w:hint="eastAsia" w:ascii="宋体" w:hAnsi="宋体"/>
          <w:bCs/>
          <w:color w:val="000000"/>
          <w:szCs w:val="28"/>
          <w:u w:val="single"/>
          <w:lang w:val="en-US" w:eastAsia="zh-CN"/>
        </w:rPr>
        <w:t xml:space="preserve">          </w:t>
      </w:r>
      <w:r>
        <w:rPr>
          <w:rFonts w:hint="eastAsia" w:ascii="宋体" w:hAnsi="宋体"/>
          <w:bCs/>
          <w:color w:val="000000"/>
          <w:szCs w:val="28"/>
        </w:rPr>
        <w:t>元。</w:t>
      </w:r>
    </w:p>
    <w:p>
      <w:pPr>
        <w:pStyle w:val="22"/>
        <w:spacing w:line="480" w:lineRule="auto"/>
        <w:ind w:firstLine="0" w:firstLineChars="0"/>
        <w:rPr>
          <w:rFonts w:ascii="宋体" w:hAnsi="宋体"/>
          <w:b/>
          <w:bCs/>
          <w:color w:val="000000"/>
          <w:szCs w:val="28"/>
        </w:rPr>
      </w:pPr>
      <w:r>
        <w:rPr>
          <w:rFonts w:hint="eastAsia" w:ascii="宋体" w:hAnsi="宋体"/>
          <w:b/>
          <w:color w:val="000000"/>
          <w:szCs w:val="28"/>
        </w:rPr>
        <w:t xml:space="preserve">第四条  </w:t>
      </w:r>
      <w:r>
        <w:rPr>
          <w:rFonts w:hint="eastAsia" w:ascii="宋体" w:hAnsi="宋体"/>
          <w:b/>
          <w:bCs/>
          <w:color w:val="000000"/>
          <w:szCs w:val="28"/>
        </w:rPr>
        <w:t>违约责任</w:t>
      </w:r>
    </w:p>
    <w:p>
      <w:pPr>
        <w:spacing w:line="480" w:lineRule="auto"/>
        <w:ind w:firstLine="420" w:firstLineChars="200"/>
        <w:rPr>
          <w:rFonts w:ascii="宋体" w:hAnsi="宋体"/>
          <w:szCs w:val="28"/>
        </w:rPr>
      </w:pPr>
      <w:r>
        <w:rPr>
          <w:rFonts w:hint="eastAsia" w:ascii="宋体" w:hAnsi="宋体"/>
          <w:szCs w:val="28"/>
        </w:rPr>
        <w:t>1.</w:t>
      </w:r>
      <w:r>
        <w:rPr>
          <w:rFonts w:ascii="宋体" w:hAnsi="宋体"/>
          <w:szCs w:val="28"/>
        </w:rPr>
        <w:t>甲方若不能按照付款时间要求进行付款，每延迟一日，需支付乙方延迟付款金额的</w:t>
      </w:r>
      <w:r>
        <w:rPr>
          <w:rFonts w:hint="eastAsia" w:ascii="宋体" w:hAnsi="宋体"/>
          <w:szCs w:val="28"/>
        </w:rPr>
        <w:t>5</w:t>
      </w:r>
      <w:r>
        <w:rPr>
          <w:rFonts w:ascii="Arial" w:hAnsi="Arial" w:cs="Arial"/>
          <w:color w:val="333333"/>
          <w:szCs w:val="21"/>
          <w:shd w:val="clear" w:color="auto" w:fill="FFFFFF"/>
        </w:rPr>
        <w:t>‰</w:t>
      </w:r>
      <w:r>
        <w:rPr>
          <w:rFonts w:ascii="宋体" w:hAnsi="宋体"/>
          <w:szCs w:val="28"/>
        </w:rPr>
        <w:t>作为赔偿金。</w:t>
      </w:r>
    </w:p>
    <w:p>
      <w:pPr>
        <w:spacing w:line="480" w:lineRule="auto"/>
        <w:ind w:firstLine="420" w:firstLineChars="200"/>
        <w:rPr>
          <w:rFonts w:ascii="宋体" w:hAnsi="宋体"/>
          <w:szCs w:val="28"/>
        </w:rPr>
      </w:pPr>
      <w:r>
        <w:rPr>
          <w:rFonts w:hint="eastAsia" w:ascii="宋体" w:hAnsi="宋体"/>
          <w:szCs w:val="28"/>
        </w:rPr>
        <w:t>2.甲方无正当理由拒收该项目服务的，由甲方向乙方偿付合同总价款的5%违约金，不可抗力除外。</w:t>
      </w:r>
    </w:p>
    <w:p>
      <w:pPr>
        <w:spacing w:line="480" w:lineRule="auto"/>
        <w:ind w:firstLine="420" w:firstLineChars="200"/>
        <w:rPr>
          <w:rFonts w:ascii="宋体" w:hAnsi="宋体"/>
          <w:szCs w:val="28"/>
        </w:rPr>
      </w:pPr>
      <w:r>
        <w:rPr>
          <w:rFonts w:hint="eastAsia" w:ascii="宋体" w:hAnsi="宋体"/>
          <w:szCs w:val="28"/>
        </w:rPr>
        <w:t>3.乙方未按合同的规定提供服务的，应按合同总价款的5%向甲方承担违约责任。</w:t>
      </w:r>
    </w:p>
    <w:p>
      <w:pPr>
        <w:spacing w:line="480" w:lineRule="auto"/>
        <w:rPr>
          <w:rFonts w:ascii="宋体" w:hAnsi="宋体"/>
          <w:color w:val="000000"/>
          <w:szCs w:val="28"/>
        </w:rPr>
      </w:pPr>
      <w:r>
        <w:rPr>
          <w:rFonts w:hint="eastAsia" w:ascii="宋体" w:hAnsi="宋体"/>
          <w:b/>
          <w:color w:val="000000"/>
          <w:szCs w:val="28"/>
        </w:rPr>
        <w:t>第五条  不可抗力</w:t>
      </w:r>
    </w:p>
    <w:p>
      <w:pPr>
        <w:spacing w:line="480" w:lineRule="auto"/>
        <w:ind w:firstLine="420" w:firstLineChars="200"/>
        <w:rPr>
          <w:rFonts w:ascii="宋体" w:hAnsi="宋体"/>
          <w:szCs w:val="28"/>
        </w:rPr>
      </w:pPr>
      <w:r>
        <w:rPr>
          <w:rFonts w:hint="eastAsia" w:ascii="宋体" w:hAnsi="宋体"/>
          <w:szCs w:val="28"/>
        </w:rPr>
        <w:t>1.由于不可抗力的原因，一方被迫终止或中止合同的执行，受阻一方应用电报、传真等书面形式尽快通知对方。</w:t>
      </w:r>
    </w:p>
    <w:p>
      <w:pPr>
        <w:spacing w:line="480" w:lineRule="auto"/>
        <w:ind w:firstLine="420" w:firstLineChars="200"/>
        <w:rPr>
          <w:rFonts w:ascii="宋体" w:hAnsi="宋体"/>
          <w:szCs w:val="28"/>
        </w:rPr>
      </w:pPr>
      <w:r>
        <w:rPr>
          <w:rFonts w:hint="eastAsia" w:ascii="宋体" w:hAnsi="宋体"/>
          <w:szCs w:val="28"/>
        </w:rPr>
        <w:t>2.受阻一方应在不可抗力事件发生5日内，将有关机关证明文件以最快方式邮寄对方，以使对方检查确认。不可抗力事件终止或解除后，应用电报、传真等书面方式尽快通知对方。</w:t>
      </w:r>
    </w:p>
    <w:p>
      <w:pPr>
        <w:spacing w:line="480" w:lineRule="auto"/>
        <w:ind w:firstLine="420" w:firstLineChars="200"/>
        <w:rPr>
          <w:rFonts w:ascii="宋体" w:hAnsi="宋体"/>
          <w:szCs w:val="28"/>
        </w:rPr>
      </w:pPr>
      <w:r>
        <w:rPr>
          <w:rFonts w:hint="eastAsia" w:ascii="宋体" w:hAnsi="宋体"/>
          <w:szCs w:val="28"/>
        </w:rPr>
        <w:t>3.不可抗力事由致使本合同中止或延迟履行超过30天，双方应通过协商解决合同进一步履行问题。</w:t>
      </w:r>
    </w:p>
    <w:p>
      <w:pPr>
        <w:pStyle w:val="22"/>
        <w:tabs>
          <w:tab w:val="left" w:pos="1161"/>
        </w:tabs>
        <w:spacing w:line="480" w:lineRule="auto"/>
        <w:ind w:firstLine="0" w:firstLineChars="0"/>
        <w:rPr>
          <w:rFonts w:ascii="宋体" w:hAnsi="宋体"/>
          <w:b/>
          <w:bCs/>
          <w:szCs w:val="28"/>
        </w:rPr>
      </w:pPr>
      <w:r>
        <w:rPr>
          <w:rFonts w:hint="eastAsia" w:ascii="宋体" w:hAnsi="宋体"/>
          <w:b/>
          <w:color w:val="000000"/>
          <w:szCs w:val="28"/>
        </w:rPr>
        <w:t xml:space="preserve">第六条  </w:t>
      </w:r>
      <w:r>
        <w:rPr>
          <w:rFonts w:hint="eastAsia" w:ascii="宋体" w:hAnsi="宋体"/>
          <w:b/>
          <w:bCs/>
          <w:szCs w:val="28"/>
        </w:rPr>
        <w:t>适用法律和法律解释</w:t>
      </w:r>
    </w:p>
    <w:p>
      <w:pPr>
        <w:widowControl/>
        <w:autoSpaceDE w:val="0"/>
        <w:autoSpaceDN w:val="0"/>
        <w:spacing w:line="480" w:lineRule="auto"/>
        <w:ind w:firstLine="420" w:firstLineChars="200"/>
        <w:textAlignment w:val="bottom"/>
        <w:rPr>
          <w:rFonts w:ascii="宋体" w:hAnsi="宋体"/>
          <w:szCs w:val="28"/>
        </w:rPr>
      </w:pPr>
      <w:r>
        <w:rPr>
          <w:rFonts w:hint="eastAsia" w:ascii="宋体" w:hAnsi="宋体"/>
          <w:szCs w:val="28"/>
        </w:rPr>
        <w:t>1.本合同应受中华人民共和国法律管辖。</w:t>
      </w:r>
    </w:p>
    <w:p>
      <w:pPr>
        <w:widowControl/>
        <w:autoSpaceDE w:val="0"/>
        <w:autoSpaceDN w:val="0"/>
        <w:spacing w:line="480" w:lineRule="auto"/>
        <w:ind w:firstLine="420" w:firstLineChars="200"/>
        <w:textAlignment w:val="bottom"/>
        <w:rPr>
          <w:rFonts w:ascii="宋体" w:hAnsi="宋体"/>
          <w:szCs w:val="28"/>
        </w:rPr>
      </w:pPr>
      <w:r>
        <w:rPr>
          <w:rFonts w:hint="eastAsia" w:ascii="宋体" w:hAnsi="宋体"/>
          <w:szCs w:val="28"/>
        </w:rPr>
        <w:t>2.如果本合同所载的任何一个或多个条款在任何方面因任何原因被判决无效、不合法或不可执行，该无效条款不影响本合同其它条款的效力。</w:t>
      </w:r>
    </w:p>
    <w:p>
      <w:pPr>
        <w:widowControl/>
        <w:autoSpaceDE w:val="0"/>
        <w:autoSpaceDN w:val="0"/>
        <w:spacing w:line="480" w:lineRule="auto"/>
        <w:ind w:firstLine="420" w:firstLineChars="200"/>
        <w:textAlignment w:val="bottom"/>
        <w:rPr>
          <w:rFonts w:ascii="宋体" w:hAnsi="宋体"/>
          <w:szCs w:val="28"/>
        </w:rPr>
      </w:pPr>
      <w:r>
        <w:rPr>
          <w:rFonts w:hint="eastAsia" w:ascii="宋体" w:hAnsi="宋体"/>
          <w:szCs w:val="28"/>
        </w:rPr>
        <w:t>3.本合同的各个附件，为本合同不可分割的组成部分，与本合同所列的条款和条件具有同样的约束力和法律效力。但是，如果本合同所列的条款和条件与本合同各个附件所列的条款和条件有任何抵触，则应以本合同的条款为准。</w:t>
      </w:r>
    </w:p>
    <w:p>
      <w:pPr>
        <w:widowControl/>
        <w:autoSpaceDE w:val="0"/>
        <w:autoSpaceDN w:val="0"/>
        <w:spacing w:line="480" w:lineRule="auto"/>
        <w:textAlignment w:val="bottom"/>
        <w:rPr>
          <w:rFonts w:ascii="宋体" w:hAnsi="宋体"/>
          <w:b/>
          <w:bCs/>
          <w:szCs w:val="28"/>
        </w:rPr>
      </w:pPr>
      <w:r>
        <w:rPr>
          <w:rFonts w:hint="eastAsia" w:ascii="宋体" w:hAnsi="宋体"/>
          <w:b/>
          <w:color w:val="000000"/>
          <w:szCs w:val="28"/>
        </w:rPr>
        <w:t>第七条、</w:t>
      </w:r>
      <w:r>
        <w:rPr>
          <w:rFonts w:hint="eastAsia" w:ascii="宋体" w:hAnsi="宋体"/>
          <w:b/>
          <w:bCs/>
          <w:szCs w:val="28"/>
        </w:rPr>
        <w:t>争议的解决</w:t>
      </w:r>
    </w:p>
    <w:p>
      <w:pPr>
        <w:autoSpaceDE w:val="0"/>
        <w:autoSpaceDN w:val="0"/>
        <w:spacing w:line="480" w:lineRule="auto"/>
        <w:ind w:firstLine="420" w:firstLineChars="200"/>
        <w:rPr>
          <w:rFonts w:ascii="宋体" w:hAnsi="宋体"/>
          <w:szCs w:val="28"/>
        </w:rPr>
      </w:pPr>
      <w:r>
        <w:rPr>
          <w:rFonts w:hint="eastAsia" w:ascii="宋体" w:hAnsi="宋体"/>
          <w:szCs w:val="28"/>
        </w:rPr>
        <w:t>甲乙双方就本合同的解释或执行发生争议，应通过友好协商解决。协商不成，任何一方可将该争议提交</w:t>
      </w:r>
      <w:r>
        <w:rPr>
          <w:rFonts w:hint="eastAsia" w:ascii="宋体" w:hAnsi="宋体"/>
          <w:szCs w:val="28"/>
          <w:u w:val="single"/>
        </w:rPr>
        <w:t>合肥市仲裁委员会</w:t>
      </w:r>
      <w:r>
        <w:rPr>
          <w:rFonts w:hint="eastAsia" w:ascii="宋体" w:hAnsi="宋体"/>
          <w:szCs w:val="28"/>
        </w:rPr>
        <w:t>仲裁。</w:t>
      </w:r>
    </w:p>
    <w:p>
      <w:pPr>
        <w:pStyle w:val="22"/>
        <w:widowControl/>
        <w:autoSpaceDE w:val="0"/>
        <w:autoSpaceDN w:val="0"/>
        <w:spacing w:line="480" w:lineRule="auto"/>
        <w:ind w:firstLine="0" w:firstLineChars="0"/>
        <w:textAlignment w:val="bottom"/>
        <w:rPr>
          <w:rFonts w:ascii="宋体" w:hAnsi="宋体"/>
          <w:b/>
          <w:bCs/>
          <w:szCs w:val="28"/>
        </w:rPr>
      </w:pPr>
      <w:r>
        <w:rPr>
          <w:rFonts w:hint="eastAsia" w:ascii="宋体" w:hAnsi="宋体"/>
          <w:b/>
          <w:color w:val="000000"/>
          <w:szCs w:val="28"/>
        </w:rPr>
        <w:t xml:space="preserve">第八条  </w:t>
      </w:r>
      <w:r>
        <w:rPr>
          <w:rFonts w:hint="eastAsia" w:ascii="宋体" w:hAnsi="宋体"/>
          <w:b/>
          <w:bCs/>
          <w:szCs w:val="28"/>
        </w:rPr>
        <w:t>保密协议</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1.乙方从甲方获得的与合作有关或因合作产生的任何</w:t>
      </w:r>
      <w:r>
        <w:rPr>
          <w:rFonts w:hint="eastAsia"/>
          <w:kern w:val="0"/>
          <w:szCs w:val="28"/>
        </w:rPr>
        <w:t>财务数据或其他性质的资料，无论以何种形式或载于何种载体，无论在披露时是否以口头、图像或以书面方式表明，均具有保密性。</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2.乙方保证保密信息仅可在从事该项目的雇员范围内知悉，保证保密信息仅用于与本合同项目有关的用途或目的，并保证采取适当的保护措施进行保密。</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3.本合同的保密义务不因本合同的变更、解除或终止而消灭。</w:t>
      </w:r>
    </w:p>
    <w:p>
      <w:pPr>
        <w:widowControl/>
        <w:autoSpaceDE w:val="0"/>
        <w:autoSpaceDN w:val="0"/>
        <w:spacing w:line="480" w:lineRule="auto"/>
        <w:textAlignment w:val="bottom"/>
        <w:rPr>
          <w:rFonts w:ascii="宋体" w:hAnsi="宋体"/>
          <w:b/>
          <w:bCs/>
          <w:szCs w:val="28"/>
        </w:rPr>
      </w:pPr>
      <w:r>
        <w:rPr>
          <w:rFonts w:hint="eastAsia" w:ascii="宋体" w:hAnsi="宋体"/>
          <w:b/>
          <w:bCs/>
          <w:szCs w:val="28"/>
        </w:rPr>
        <w:t>第九条  其它约定事项</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1.除双方在合同中规定的条款外，此次交易的细节、服务的明细说明及甲乙双方均认为有必要确定且双方均同意接受的与该交易相关的其他条款，应以合同附件或补充协议等形式另行约定，并构成本合同不可分割之组成部分。</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2.本合同自双方代理人签字并加盖公章后生效。正本一式四份，甲方持有二份，乙方持有二份，具有同等的法律效力。</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3.任何一方未经另一方书面同意</w:t>
      </w:r>
      <w:r>
        <w:rPr>
          <w:rFonts w:ascii="宋体" w:hAnsi="宋体" w:cs="Calibri"/>
          <w:kern w:val="0"/>
          <w:szCs w:val="28"/>
        </w:rPr>
        <w:t>,</w:t>
      </w:r>
      <w:r>
        <w:rPr>
          <w:rFonts w:hint="eastAsia" w:ascii="宋体" w:hAnsi="宋体" w:cs="Calibri"/>
          <w:kern w:val="0"/>
          <w:szCs w:val="28"/>
        </w:rPr>
        <w:t>不得向第三方出示本合同。</w:t>
      </w:r>
    </w:p>
    <w:p>
      <w:pPr>
        <w:widowControl/>
        <w:spacing w:line="480" w:lineRule="auto"/>
        <w:ind w:firstLine="420" w:firstLineChars="200"/>
        <w:rPr>
          <w:rFonts w:ascii="宋体" w:hAnsi="宋体" w:cs="Calibri"/>
          <w:kern w:val="0"/>
          <w:szCs w:val="28"/>
        </w:rPr>
      </w:pPr>
      <w:r>
        <w:rPr>
          <w:rFonts w:hint="eastAsia" w:ascii="宋体" w:hAnsi="宋体" w:cs="Calibri"/>
          <w:kern w:val="0"/>
          <w:szCs w:val="28"/>
        </w:rPr>
        <w:t>4.本合同未尽事宜及合同变更以书面形式为准。由双方授权代表签字并加盖公章后生效。</w:t>
      </w:r>
    </w:p>
    <w:p>
      <w:pPr>
        <w:widowControl/>
        <w:ind w:left="420"/>
        <w:rPr>
          <w:rFonts w:ascii="宋体" w:hAnsi="宋体" w:cs="Calibri"/>
          <w:kern w:val="0"/>
          <w:szCs w:val="28"/>
        </w:rPr>
      </w:pPr>
    </w:p>
    <w:tbl>
      <w:tblPr>
        <w:tblStyle w:val="1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3"/>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43" w:type="dxa"/>
          </w:tcPr>
          <w:p>
            <w:pPr>
              <w:spacing w:line="360" w:lineRule="exact"/>
              <w:rPr>
                <w:rFonts w:ascii="宋体" w:hAnsi="宋体"/>
                <w:color w:val="000000"/>
                <w:szCs w:val="28"/>
              </w:rPr>
            </w:pPr>
            <w:r>
              <w:rPr>
                <w:rFonts w:hint="eastAsia" w:ascii="宋体" w:hAnsi="宋体"/>
                <w:color w:val="000000"/>
                <w:szCs w:val="28"/>
              </w:rPr>
              <w:t>甲方（盖章）</w:t>
            </w:r>
          </w:p>
          <w:p>
            <w:pPr>
              <w:spacing w:line="360" w:lineRule="exact"/>
              <w:rPr>
                <w:rFonts w:ascii="宋体" w:hAnsi="宋体"/>
                <w:color w:val="000000"/>
                <w:szCs w:val="28"/>
              </w:rPr>
            </w:pPr>
          </w:p>
        </w:tc>
        <w:tc>
          <w:tcPr>
            <w:tcW w:w="4743" w:type="dxa"/>
          </w:tcPr>
          <w:p>
            <w:pPr>
              <w:spacing w:line="360" w:lineRule="exact"/>
              <w:rPr>
                <w:rFonts w:ascii="宋体" w:hAnsi="宋体"/>
                <w:color w:val="000000"/>
                <w:szCs w:val="28"/>
              </w:rPr>
            </w:pPr>
            <w:r>
              <w:rPr>
                <w:rFonts w:hint="eastAsia" w:ascii="宋体" w:hAnsi="宋体"/>
                <w:color w:val="000000"/>
                <w:szCs w:val="28"/>
              </w:rPr>
              <w:t>乙方（盖章）：</w:t>
            </w:r>
          </w:p>
          <w:p>
            <w:pPr>
              <w:spacing w:line="360" w:lineRule="exact"/>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743" w:type="dxa"/>
          </w:tcPr>
          <w:p>
            <w:pPr>
              <w:spacing w:line="360" w:lineRule="exact"/>
              <w:rPr>
                <w:rFonts w:ascii="宋体" w:hAnsi="宋体"/>
                <w:color w:val="000000"/>
                <w:szCs w:val="28"/>
              </w:rPr>
            </w:pPr>
            <w:bookmarkStart w:id="92" w:name="_Toc430784996"/>
            <w:bookmarkStart w:id="93" w:name="_Toc298141200"/>
            <w:r>
              <w:rPr>
                <w:rFonts w:hint="eastAsia" w:ascii="宋体" w:hAnsi="宋体"/>
                <w:color w:val="000000"/>
                <w:szCs w:val="28"/>
              </w:rPr>
              <w:t>甲方代表（签字）</w:t>
            </w:r>
            <w:bookmarkEnd w:id="92"/>
            <w:bookmarkEnd w:id="93"/>
            <w:r>
              <w:rPr>
                <w:rFonts w:hint="eastAsia" w:ascii="宋体" w:hAnsi="宋体"/>
                <w:color w:val="000000"/>
                <w:szCs w:val="28"/>
              </w:rPr>
              <w:t>：</w:t>
            </w:r>
          </w:p>
          <w:p>
            <w:pPr>
              <w:spacing w:line="360" w:lineRule="exact"/>
              <w:rPr>
                <w:rFonts w:ascii="宋体" w:hAnsi="宋体"/>
                <w:color w:val="000000"/>
                <w:szCs w:val="28"/>
              </w:rPr>
            </w:pPr>
          </w:p>
        </w:tc>
        <w:tc>
          <w:tcPr>
            <w:tcW w:w="4743" w:type="dxa"/>
          </w:tcPr>
          <w:p>
            <w:pPr>
              <w:spacing w:line="360" w:lineRule="exact"/>
              <w:rPr>
                <w:rFonts w:ascii="宋体" w:hAnsi="宋体"/>
                <w:color w:val="000000"/>
                <w:szCs w:val="28"/>
              </w:rPr>
            </w:pPr>
            <w:r>
              <w:rPr>
                <w:rFonts w:hint="eastAsia" w:ascii="宋体" w:hAnsi="宋体"/>
                <w:color w:val="000000"/>
                <w:szCs w:val="28"/>
              </w:rPr>
              <w:t>乙方代表（签字）：</w:t>
            </w:r>
          </w:p>
        </w:tc>
      </w:tr>
    </w:tbl>
    <w:p>
      <w:pPr>
        <w:spacing w:line="360" w:lineRule="exact"/>
        <w:jc w:val="right"/>
        <w:rPr>
          <w:rFonts w:ascii="宋体" w:hAnsi="宋体"/>
          <w:color w:val="000000"/>
          <w:szCs w:val="28"/>
        </w:rPr>
      </w:pPr>
    </w:p>
    <w:p>
      <w:pPr>
        <w:spacing w:line="360" w:lineRule="exact"/>
        <w:jc w:val="right"/>
        <w:rPr>
          <w:rFonts w:ascii="宋体" w:hAnsi="宋体"/>
          <w:color w:val="000000"/>
          <w:szCs w:val="28"/>
        </w:rPr>
      </w:pPr>
      <w:r>
        <w:rPr>
          <w:rFonts w:hint="eastAsia" w:ascii="宋体" w:hAnsi="宋体"/>
          <w:color w:val="000000"/>
          <w:szCs w:val="28"/>
        </w:rPr>
        <w:t>合同签订时间：      年     月     日</w:t>
      </w:r>
    </w:p>
    <w:p>
      <w:pPr>
        <w:spacing w:line="360" w:lineRule="exact"/>
        <w:jc w:val="right"/>
        <w:rPr>
          <w:rFonts w:ascii="宋体" w:hAnsi="宋体"/>
          <w:color w:val="000000"/>
          <w:szCs w:val="28"/>
        </w:rPr>
      </w:pPr>
    </w:p>
    <w:p>
      <w:pPr>
        <w:spacing w:line="360" w:lineRule="exact"/>
        <w:jc w:val="right"/>
        <w:rPr>
          <w:rFonts w:ascii="宋体" w:hAnsi="宋体"/>
          <w:color w:val="000000"/>
          <w:szCs w:val="28"/>
        </w:rPr>
      </w:pPr>
    </w:p>
    <w:p>
      <w:pPr>
        <w:pStyle w:val="3"/>
        <w:numPr>
          <w:ilvl w:val="0"/>
          <w:numId w:val="3"/>
        </w:numPr>
        <w:spacing w:before="312" w:after="312"/>
        <w:rPr>
          <w:rFonts w:ascii="Times New Roman" w:hAnsi="Times New Roman" w:eastAsia="宋体" w:cs="Times New Roman"/>
        </w:rPr>
      </w:pPr>
      <w:bookmarkStart w:id="94" w:name="_Toc18690"/>
      <w:r>
        <w:rPr>
          <w:rFonts w:ascii="Times New Roman" w:hAnsi="Times New Roman" w:eastAsia="宋体" w:cs="Times New Roman"/>
        </w:rPr>
        <w:t>采购需求及清单</w:t>
      </w:r>
      <w:bookmarkEnd w:id="94"/>
    </w:p>
    <w:p>
      <w:pPr>
        <w:numPr>
          <w:ilvl w:val="0"/>
          <w:numId w:val="6"/>
        </w:numPr>
        <w:spacing w:line="480" w:lineRule="auto"/>
        <w:ind w:firstLine="420" w:firstLineChars="200"/>
        <w:rPr>
          <w:lang w:val="zh-CN"/>
        </w:rPr>
      </w:pPr>
      <w:r>
        <w:rPr>
          <w:szCs w:val="21"/>
        </w:rPr>
        <w:t>提供</w:t>
      </w:r>
      <w:r>
        <w:rPr>
          <w:rFonts w:hint="eastAsia"/>
          <w:szCs w:val="21"/>
        </w:rPr>
        <w:t>省交运集团及皖运公司</w:t>
      </w:r>
      <w:r>
        <w:rPr>
          <w:szCs w:val="21"/>
        </w:rPr>
        <w:t>日常咨询顾问服务及相关涉税业务处理意见和建议、最新税务政策解读、税务政策培训</w:t>
      </w:r>
      <w:r>
        <w:rPr>
          <w:rFonts w:hint="eastAsia"/>
          <w:szCs w:val="21"/>
        </w:rPr>
        <w:t>，</w:t>
      </w:r>
      <w:r>
        <w:rPr>
          <w:szCs w:val="21"/>
        </w:rPr>
        <w:t>对于公司</w:t>
      </w:r>
      <w:r>
        <w:rPr>
          <w:rFonts w:hint="eastAsia"/>
          <w:szCs w:val="21"/>
        </w:rPr>
        <w:t>提出的</w:t>
      </w:r>
      <w:r>
        <w:rPr>
          <w:szCs w:val="21"/>
        </w:rPr>
        <w:t>涉税诉求，协助公司准备相关书面材料，协助公司与相关人员进行专业沟通。</w:t>
      </w:r>
      <w:r>
        <w:rPr>
          <w:rFonts w:hint="eastAsia" w:ascii="宋体" w:hAnsi="宋体" w:cs="宋体"/>
          <w:bCs/>
          <w:szCs w:val="28"/>
          <w:lang w:val="zh-CN"/>
        </w:rPr>
        <w:t>相关服务期限为一年，自合同签订之日起开始。</w:t>
      </w:r>
    </w:p>
    <w:p>
      <w:pPr>
        <w:numPr>
          <w:ilvl w:val="0"/>
          <w:numId w:val="6"/>
        </w:numPr>
        <w:spacing w:line="480" w:lineRule="auto"/>
        <w:ind w:firstLine="420" w:firstLineChars="200"/>
        <w:rPr>
          <w:szCs w:val="21"/>
          <w:lang w:val="zh-CN"/>
        </w:rPr>
      </w:pPr>
      <w:r>
        <w:rPr>
          <w:rFonts w:hint="eastAsia"/>
          <w:szCs w:val="21"/>
        </w:rPr>
        <w:t>梳理公司现有经营业务，考虑板块关联性，通过对经营模式、关联交易等进行合理安排，提出税收涉税规划方案。对于实施税收规划的方案涉及人员，执行过程中应注意的关键事项进行培训，注意事项包括不限于合同约定、付款、会计处理、纳税申报、准备资料等。</w:t>
      </w:r>
    </w:p>
    <w:p>
      <w:pPr>
        <w:numPr>
          <w:ilvl w:val="0"/>
          <w:numId w:val="6"/>
        </w:numPr>
        <w:spacing w:line="480" w:lineRule="auto"/>
        <w:ind w:firstLine="420" w:firstLineChars="200"/>
        <w:rPr>
          <w:rFonts w:ascii="宋体" w:hAnsi="宋体" w:cs="宋体"/>
          <w:bCs/>
          <w:szCs w:val="28"/>
          <w:lang w:val="zh-CN"/>
        </w:rPr>
      </w:pPr>
      <w:r>
        <w:rPr>
          <w:rFonts w:hint="eastAsia" w:ascii="宋体" w:hAnsi="宋体" w:cs="宋体"/>
          <w:bCs/>
          <w:szCs w:val="28"/>
          <w:lang w:val="zh-CN"/>
        </w:rPr>
        <w:t>对公司在2</w:t>
      </w:r>
      <w:r>
        <w:rPr>
          <w:rFonts w:ascii="宋体" w:hAnsi="宋体" w:cs="宋体"/>
          <w:bCs/>
          <w:szCs w:val="28"/>
          <w:lang w:val="zh-CN"/>
        </w:rPr>
        <w:t>0</w:t>
      </w:r>
      <w:r>
        <w:rPr>
          <w:rFonts w:hint="eastAsia" w:ascii="宋体" w:hAnsi="宋体" w:cs="宋体"/>
          <w:bCs/>
          <w:szCs w:val="28"/>
        </w:rPr>
        <w:t>22</w:t>
      </w:r>
      <w:r>
        <w:rPr>
          <w:rFonts w:hint="eastAsia" w:ascii="宋体" w:hAnsi="宋体" w:cs="宋体"/>
          <w:bCs/>
          <w:szCs w:val="28"/>
          <w:lang w:val="zh-CN"/>
        </w:rPr>
        <w:t>年</w:t>
      </w:r>
      <w:r>
        <w:rPr>
          <w:rFonts w:hint="eastAsia" w:ascii="宋体" w:hAnsi="宋体" w:cs="宋体"/>
          <w:bCs/>
          <w:szCs w:val="28"/>
        </w:rPr>
        <w:t>3</w:t>
      </w:r>
      <w:r>
        <w:rPr>
          <w:rFonts w:hint="eastAsia" w:ascii="宋体" w:hAnsi="宋体" w:cs="宋体"/>
          <w:bCs/>
          <w:szCs w:val="28"/>
          <w:lang w:val="zh-CN"/>
        </w:rPr>
        <w:t>月1日后的项目进项税务专项调研及出具相应咨询意见和操作手册（本项调研需3名专业人员，其中至少1人为注册税务师，在2</w:t>
      </w:r>
      <w:r>
        <w:rPr>
          <w:rFonts w:ascii="宋体" w:hAnsi="宋体" w:cs="宋体"/>
          <w:bCs/>
          <w:szCs w:val="28"/>
          <w:lang w:val="zh-CN"/>
        </w:rPr>
        <w:t>0</w:t>
      </w:r>
      <w:r>
        <w:rPr>
          <w:rFonts w:hint="eastAsia" w:ascii="宋体" w:hAnsi="宋体" w:cs="宋体"/>
          <w:bCs/>
          <w:szCs w:val="28"/>
        </w:rPr>
        <w:t>22</w:t>
      </w:r>
      <w:r>
        <w:rPr>
          <w:rFonts w:hint="eastAsia" w:ascii="宋体" w:hAnsi="宋体" w:cs="宋体"/>
          <w:bCs/>
          <w:szCs w:val="28"/>
          <w:lang w:val="zh-CN"/>
        </w:rPr>
        <w:t>年</w:t>
      </w:r>
      <w:r>
        <w:rPr>
          <w:rFonts w:hint="eastAsia" w:ascii="宋体" w:hAnsi="宋体" w:cs="宋体"/>
          <w:bCs/>
          <w:szCs w:val="28"/>
          <w:highlight w:val="none"/>
        </w:rPr>
        <w:t>3</w:t>
      </w:r>
      <w:r>
        <w:rPr>
          <w:rFonts w:hint="eastAsia" w:ascii="宋体" w:hAnsi="宋体" w:cs="宋体"/>
          <w:bCs/>
          <w:szCs w:val="28"/>
          <w:lang w:val="zh-CN"/>
        </w:rPr>
        <w:t>月底前出报告及操作手册）。</w:t>
      </w:r>
    </w:p>
    <w:p>
      <w:pPr>
        <w:numPr>
          <w:ilvl w:val="0"/>
          <w:numId w:val="6"/>
        </w:numPr>
        <w:spacing w:line="480" w:lineRule="auto"/>
        <w:ind w:firstLine="420" w:firstLineChars="200"/>
        <w:rPr>
          <w:rFonts w:ascii="宋体" w:hAnsi="宋体" w:cs="宋体"/>
          <w:bCs/>
          <w:szCs w:val="28"/>
          <w:lang w:val="zh-CN"/>
        </w:rPr>
      </w:pPr>
      <w:r>
        <w:rPr>
          <w:rFonts w:hint="eastAsia" w:ascii="宋体" w:hAnsi="宋体" w:cs="宋体"/>
          <w:bCs/>
          <w:szCs w:val="28"/>
          <w:lang w:val="zh-CN"/>
        </w:rPr>
        <w:t>公司所得税汇算清缴指导（2</w:t>
      </w:r>
      <w:r>
        <w:rPr>
          <w:rFonts w:ascii="宋体" w:hAnsi="宋体" w:cs="宋体"/>
          <w:bCs/>
          <w:szCs w:val="28"/>
          <w:lang w:val="zh-CN"/>
        </w:rPr>
        <w:t>0</w:t>
      </w:r>
      <w:r>
        <w:rPr>
          <w:rFonts w:hint="eastAsia" w:ascii="宋体" w:hAnsi="宋体" w:cs="宋体"/>
          <w:bCs/>
          <w:szCs w:val="28"/>
        </w:rPr>
        <w:t>22</w:t>
      </w:r>
      <w:r>
        <w:rPr>
          <w:rFonts w:hint="eastAsia" w:ascii="宋体" w:hAnsi="宋体" w:cs="宋体"/>
          <w:bCs/>
          <w:szCs w:val="28"/>
          <w:lang w:val="zh-CN"/>
        </w:rPr>
        <w:t>年度）、涉税专业业务调研和资产重组及子公司设立等涉税咨询并按要求出具专业调研报告及其他相关报告（不多于5次）；</w:t>
      </w:r>
    </w:p>
    <w:p>
      <w:pPr>
        <w:numPr>
          <w:ilvl w:val="0"/>
          <w:numId w:val="6"/>
        </w:numPr>
        <w:spacing w:line="480" w:lineRule="auto"/>
        <w:ind w:firstLine="420" w:firstLineChars="200"/>
        <w:rPr>
          <w:rFonts w:ascii="宋体" w:hAnsi="宋体" w:cs="宋体"/>
          <w:bCs/>
          <w:szCs w:val="28"/>
        </w:rPr>
      </w:pPr>
      <w:r>
        <w:rPr>
          <w:rFonts w:hint="eastAsia" w:ascii="宋体" w:hAnsi="宋体" w:cs="宋体"/>
          <w:bCs/>
          <w:szCs w:val="28"/>
          <w:lang w:val="zh-CN"/>
        </w:rPr>
        <w:t>协调解决税务检查时的</w:t>
      </w:r>
      <w:r>
        <w:rPr>
          <w:rFonts w:hint="eastAsia" w:ascii="宋体" w:hAnsi="宋体" w:cs="宋体"/>
          <w:bCs/>
          <w:szCs w:val="28"/>
        </w:rPr>
        <w:t>应对及与税务机关有争议时的处理工作；</w:t>
      </w:r>
    </w:p>
    <w:p>
      <w:pPr>
        <w:numPr>
          <w:ilvl w:val="0"/>
          <w:numId w:val="6"/>
        </w:numPr>
        <w:spacing w:line="480" w:lineRule="auto"/>
        <w:ind w:firstLine="420" w:firstLineChars="200"/>
        <w:rPr>
          <w:rFonts w:ascii="宋体" w:hAnsi="宋体" w:cs="宋体"/>
          <w:bCs/>
          <w:szCs w:val="28"/>
        </w:rPr>
      </w:pPr>
      <w:r>
        <w:rPr>
          <w:rFonts w:hint="eastAsia" w:ascii="宋体" w:hAnsi="宋体" w:cs="宋体"/>
          <w:bCs/>
          <w:szCs w:val="28"/>
          <w:lang w:val="zh-CN"/>
        </w:rPr>
        <w:t>筹划公司主营业务和各分板块业务之间税收优化跟进服务及关联方交易相关税务咨询</w:t>
      </w:r>
      <w:r>
        <w:rPr>
          <w:rFonts w:ascii="宋体" w:hAnsi="宋体" w:cs="宋体"/>
          <w:bCs/>
          <w:szCs w:val="28"/>
          <w:lang w:val="zh-CN"/>
        </w:rPr>
        <w:t>工作</w:t>
      </w:r>
      <w:r>
        <w:rPr>
          <w:rFonts w:hint="eastAsia" w:ascii="宋体" w:hAnsi="宋体" w:cs="宋体"/>
          <w:bCs/>
          <w:szCs w:val="28"/>
          <w:lang w:val="zh-CN"/>
        </w:rPr>
        <w:t>。</w:t>
      </w:r>
    </w:p>
    <w:p>
      <w:pPr>
        <w:numPr>
          <w:ilvl w:val="0"/>
          <w:numId w:val="6"/>
        </w:numPr>
        <w:spacing w:line="480" w:lineRule="auto"/>
        <w:ind w:firstLine="420" w:firstLineChars="200"/>
        <w:rPr>
          <w:rFonts w:ascii="宋体" w:hAnsi="宋体" w:cs="宋体"/>
          <w:bCs/>
          <w:szCs w:val="28"/>
        </w:rPr>
      </w:pPr>
      <w:r>
        <w:rPr>
          <w:rFonts w:hint="eastAsia" w:ascii="宋体" w:hAnsi="宋体" w:cs="宋体"/>
          <w:bCs/>
          <w:szCs w:val="28"/>
        </w:rPr>
        <w:t>税务申报相关服务等（2</w:t>
      </w:r>
      <w:r>
        <w:rPr>
          <w:rFonts w:ascii="宋体" w:hAnsi="宋体" w:cs="宋体"/>
          <w:bCs/>
          <w:szCs w:val="28"/>
        </w:rPr>
        <w:t>0</w:t>
      </w:r>
      <w:r>
        <w:rPr>
          <w:rFonts w:hint="eastAsia" w:ascii="宋体" w:hAnsi="宋体" w:cs="宋体"/>
          <w:bCs/>
          <w:szCs w:val="28"/>
        </w:rPr>
        <w:t>22年度增值税附加、水利基金、企业所得税、房产税、土地使用税、印花税、残疾人保障金等）。</w:t>
      </w: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rPr>
          <w:rFonts w:ascii="宋体" w:hAnsi="宋体" w:cs="宋体"/>
          <w:bCs/>
          <w:szCs w:val="28"/>
        </w:rPr>
      </w:pPr>
    </w:p>
    <w:p>
      <w:pPr>
        <w:pStyle w:val="3"/>
        <w:numPr>
          <w:ilvl w:val="0"/>
          <w:numId w:val="3"/>
        </w:numPr>
        <w:spacing w:before="312" w:after="312"/>
        <w:rPr>
          <w:rFonts w:ascii="Times New Roman" w:hAnsi="Times New Roman" w:eastAsia="宋体" w:cs="Times New Roman"/>
        </w:rPr>
      </w:pPr>
      <w:bookmarkStart w:id="95" w:name="_Toc28547"/>
      <w:r>
        <w:rPr>
          <w:rFonts w:ascii="Times New Roman" w:hAnsi="Times New Roman" w:eastAsia="宋体" w:cs="Times New Roman"/>
        </w:rPr>
        <w:t>响应文件格式</w:t>
      </w:r>
      <w:bookmarkEnd w:id="95"/>
    </w:p>
    <w:p>
      <w:pPr>
        <w:rPr>
          <w:rFonts w:ascii="Times New Roman" w:hAnsi="Times New Roman" w:eastAsia="宋体" w:cs="Times New Roman"/>
        </w:rPr>
      </w:pPr>
      <w:r>
        <w:rPr>
          <w:rFonts w:ascii="Times New Roman" w:hAnsi="Times New Roman" w:eastAsia="宋体" w:cs="Times New Roman"/>
        </w:rPr>
        <w:br w:type="page"/>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96" w:name="_Toc17394_WPSOffice_Level1"/>
      <w:bookmarkStart w:id="97" w:name="_Toc27552_WPSOffice_Level1"/>
      <w:bookmarkStart w:id="98" w:name="_Toc14496_WPSOffice_Level1"/>
      <w:bookmarkStart w:id="99" w:name="_Toc5601"/>
      <w:bookmarkStart w:id="100" w:name="_Toc1914_WPSOffice_Level1"/>
      <w:r>
        <w:rPr>
          <w:rFonts w:ascii="Times New Roman" w:hAnsi="Times New Roman" w:eastAsia="黑体" w:cs="Times New Roman"/>
          <w:sz w:val="50"/>
          <w:szCs w:val="50"/>
        </w:rPr>
        <w:t>响  应  文  件</w:t>
      </w:r>
      <w:bookmarkEnd w:id="96"/>
      <w:bookmarkEnd w:id="97"/>
      <w:bookmarkEnd w:id="98"/>
      <w:bookmarkEnd w:id="99"/>
      <w:bookmarkEnd w:id="100"/>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01" w:name="_Toc25232_WPSOffice_Level2"/>
      <w:bookmarkStart w:id="102"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01"/>
      <w:bookmarkEnd w:id="102"/>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03" w:name="_Toc31577_WPSOffice_Level2"/>
      <w:bookmarkStart w:id="104"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03"/>
      <w:bookmarkEnd w:id="104"/>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05" w:name="_Toc22351_WPSOffice_Level2"/>
      <w:bookmarkStart w:id="106" w:name="_Toc21974_WPSOffice_Level2"/>
      <w:r>
        <w:rPr>
          <w:rFonts w:ascii="Times New Roman" w:hAnsi="Times New Roman" w:eastAsia="黑体" w:cs="Times New Roman"/>
          <w:sz w:val="28"/>
          <w:szCs w:val="28"/>
        </w:rPr>
        <w:t>目     录</w:t>
      </w:r>
      <w:bookmarkEnd w:id="105"/>
      <w:bookmarkEnd w:id="106"/>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07" w:name="_Toc30529_WPSOffice_Level1"/>
      <w:bookmarkStart w:id="108" w:name="_Toc23368_WPSOffice_Level1"/>
      <w:bookmarkStart w:id="109" w:name="_Toc6353_WPSOffice_Level1"/>
      <w:bookmarkStart w:id="110" w:name="_Toc11424_WPSOffice_Level1"/>
      <w:bookmarkStart w:id="111" w:name="_Toc12670_WPSOffice_Level1"/>
      <w:r>
        <w:rPr>
          <w:rFonts w:ascii="Times New Roman" w:hAnsi="Times New Roman" w:eastAsia="黑体" w:cs="Times New Roman"/>
          <w:sz w:val="24"/>
        </w:rPr>
        <w:t>一、报价函</w:t>
      </w:r>
      <w:bookmarkEnd w:id="107"/>
      <w:bookmarkEnd w:id="108"/>
      <w:bookmarkEnd w:id="109"/>
      <w:bookmarkEnd w:id="110"/>
    </w:p>
    <w:p>
      <w:pPr>
        <w:spacing w:line="440" w:lineRule="exact"/>
        <w:ind w:left="1619" w:leftChars="771"/>
        <w:rPr>
          <w:rFonts w:ascii="Times New Roman" w:hAnsi="Times New Roman" w:eastAsia="黑体" w:cs="Times New Roman"/>
          <w:sz w:val="24"/>
        </w:rPr>
      </w:pPr>
      <w:bookmarkStart w:id="112" w:name="_Toc32729_WPSOffice_Level1"/>
      <w:bookmarkStart w:id="113" w:name="_Toc31927_WPSOffice_Level1"/>
      <w:bookmarkStart w:id="114" w:name="_Toc5317_WPSOffice_Level1"/>
      <w:bookmarkStart w:id="115" w:name="_Toc21229_WPSOffice_Level1"/>
      <w:r>
        <w:rPr>
          <w:rFonts w:ascii="Times New Roman" w:hAnsi="Times New Roman" w:eastAsia="黑体" w:cs="Times New Roman"/>
          <w:sz w:val="24"/>
        </w:rPr>
        <w:t>二、法定代表人身份证明及授权委托书</w:t>
      </w:r>
      <w:bookmarkEnd w:id="112"/>
      <w:bookmarkEnd w:id="113"/>
      <w:bookmarkEnd w:id="114"/>
      <w:bookmarkEnd w:id="115"/>
    </w:p>
    <w:p>
      <w:pPr>
        <w:spacing w:line="440" w:lineRule="exact"/>
        <w:ind w:left="1619" w:leftChars="771"/>
        <w:rPr>
          <w:rFonts w:ascii="Times New Roman" w:hAnsi="Times New Roman" w:eastAsia="黑体" w:cs="Times New Roman"/>
          <w:sz w:val="24"/>
        </w:rPr>
      </w:pPr>
      <w:bookmarkStart w:id="116" w:name="_Toc7453_WPSOffice_Level1"/>
      <w:bookmarkStart w:id="117" w:name="_Toc23744_WPSOffice_Level1"/>
      <w:bookmarkStart w:id="118" w:name="_Toc10608_WPSOffice_Level1"/>
      <w:bookmarkStart w:id="119" w:name="_Toc18964_WPSOffice_Level1"/>
      <w:r>
        <w:rPr>
          <w:rFonts w:hint="eastAsia" w:ascii="Times New Roman" w:hAnsi="Times New Roman" w:eastAsia="黑体" w:cs="Times New Roman"/>
          <w:sz w:val="24"/>
        </w:rPr>
        <w:t>三</w:t>
      </w:r>
      <w:r>
        <w:rPr>
          <w:rFonts w:ascii="Times New Roman" w:hAnsi="Times New Roman" w:eastAsia="黑体" w:cs="Times New Roman"/>
          <w:sz w:val="24"/>
        </w:rPr>
        <w:t>、</w:t>
      </w:r>
      <w:bookmarkEnd w:id="116"/>
      <w:bookmarkEnd w:id="117"/>
      <w:bookmarkEnd w:id="118"/>
      <w:bookmarkEnd w:id="119"/>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20" w:name="_Toc23751_WPSOffice_Level1"/>
      <w:bookmarkStart w:id="121" w:name="_Toc1578_WPSOffice_Level1"/>
      <w:bookmarkStart w:id="122" w:name="_Toc9006_WPSOffice_Level1"/>
      <w:bookmarkStart w:id="123" w:name="_Toc19601_WPSOffice_Level1"/>
      <w:r>
        <w:rPr>
          <w:rFonts w:hint="eastAsia" w:ascii="Times New Roman" w:hAnsi="Times New Roman" w:eastAsia="黑体" w:cs="Times New Roman"/>
          <w:sz w:val="24"/>
        </w:rPr>
        <w:t>四、</w:t>
      </w:r>
      <w:bookmarkEnd w:id="120"/>
      <w:bookmarkEnd w:id="121"/>
      <w:bookmarkEnd w:id="122"/>
      <w:bookmarkEnd w:id="123"/>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24" w:name="_Toc24082_WPSOffice_Level1"/>
      <w:bookmarkStart w:id="125" w:name="_Toc31314_WPSOffice_Level1"/>
      <w:bookmarkStart w:id="126" w:name="_Toc12459_WPSOffice_Level1"/>
      <w:bookmarkStart w:id="127" w:name="_Toc24262_WPSOffice_Level1"/>
      <w:r>
        <w:rPr>
          <w:rFonts w:hint="eastAsia" w:ascii="Times New Roman" w:hAnsi="Times New Roman" w:eastAsia="黑体" w:cs="Times New Roman"/>
          <w:sz w:val="24"/>
        </w:rPr>
        <w:t>五</w:t>
      </w:r>
      <w:r>
        <w:rPr>
          <w:rFonts w:ascii="Times New Roman" w:hAnsi="Times New Roman" w:eastAsia="黑体" w:cs="Times New Roman"/>
          <w:sz w:val="24"/>
        </w:rPr>
        <w:t>、</w:t>
      </w:r>
      <w:bookmarkEnd w:id="124"/>
      <w:bookmarkEnd w:id="125"/>
      <w:r>
        <w:rPr>
          <w:rFonts w:hint="eastAsia" w:ascii="Times New Roman" w:hAnsi="Times New Roman" w:eastAsia="黑体" w:cs="Times New Roman"/>
          <w:sz w:val="24"/>
        </w:rPr>
        <w:t>拟委任的主要人员</w:t>
      </w:r>
    </w:p>
    <w:bookmarkEnd w:id="126"/>
    <w:bookmarkEnd w:id="127"/>
    <w:p>
      <w:pPr>
        <w:spacing w:line="440" w:lineRule="exact"/>
        <w:ind w:left="1619" w:leftChars="771"/>
        <w:rPr>
          <w:rFonts w:ascii="Times New Roman" w:hAnsi="Times New Roman" w:eastAsia="黑体" w:cs="Times New Roman"/>
          <w:sz w:val="24"/>
        </w:rPr>
      </w:pPr>
      <w:bookmarkStart w:id="128" w:name="_Toc27403_WPSOffice_Level1"/>
      <w:bookmarkStart w:id="129" w:name="_Toc25804_WPSOffice_Level1"/>
      <w:bookmarkStart w:id="130" w:name="_Toc30273_WPSOffice_Level1"/>
      <w:bookmarkStart w:id="131" w:name="_Toc32648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28"/>
      <w:bookmarkEnd w:id="129"/>
      <w:bookmarkEnd w:id="130"/>
      <w:bookmarkEnd w:id="131"/>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32" w:name="_Toc30234_WPSOffice_Level1"/>
      <w:bookmarkStart w:id="133" w:name="_Toc23147_WPSOffice_Level1"/>
      <w:bookmarkStart w:id="134" w:name="_Toc32152_WPSOffice_Level1"/>
      <w:bookmarkStart w:id="135" w:name="_Toc4051_WPSOffice_Level1"/>
      <w:r>
        <w:rPr>
          <w:rFonts w:hint="eastAsia" w:ascii="Times New Roman" w:hAnsi="Times New Roman" w:eastAsia="黑体" w:cs="Times New Roman"/>
          <w:sz w:val="24"/>
        </w:rPr>
        <w:t>七</w:t>
      </w:r>
      <w:r>
        <w:rPr>
          <w:rFonts w:ascii="Times New Roman" w:hAnsi="Times New Roman" w:eastAsia="黑体" w:cs="Times New Roman"/>
          <w:sz w:val="24"/>
        </w:rPr>
        <w:t>、</w:t>
      </w:r>
      <w:bookmarkEnd w:id="132"/>
      <w:bookmarkEnd w:id="133"/>
      <w:bookmarkEnd w:id="134"/>
      <w:bookmarkEnd w:id="135"/>
      <w:r>
        <w:rPr>
          <w:rFonts w:hint="eastAsia" w:ascii="Times New Roman" w:hAnsi="Times New Roman" w:eastAsia="黑体" w:cs="Times New Roman"/>
          <w:sz w:val="24"/>
        </w:rPr>
        <w:t>技术方案</w:t>
      </w:r>
    </w:p>
    <w:p>
      <w:pPr>
        <w:spacing w:line="440" w:lineRule="exact"/>
        <w:ind w:left="1619" w:leftChars="771"/>
        <w:rPr>
          <w:rFonts w:ascii="Times New Roman" w:hAnsi="Times New Roman" w:eastAsia="黑体" w:cs="Times New Roman"/>
          <w:sz w:val="24"/>
        </w:rPr>
      </w:pPr>
      <w:bookmarkStart w:id="136" w:name="_Toc5885_WPSOffice_Level1"/>
      <w:bookmarkStart w:id="137" w:name="_Toc16988_WPSOffice_Level1"/>
      <w:r>
        <w:rPr>
          <w:rFonts w:hint="eastAsia" w:ascii="Times New Roman" w:hAnsi="Times New Roman" w:eastAsia="黑体" w:cs="Times New Roman"/>
          <w:sz w:val="24"/>
        </w:rPr>
        <w:t>八、其他材料</w:t>
      </w:r>
      <w:bookmarkEnd w:id="111"/>
      <w:bookmarkEnd w:id="136"/>
      <w:bookmarkEnd w:id="137"/>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8" w:name="_Toc30031_WPSOffice_Level1"/>
      <w:bookmarkStart w:id="139" w:name="_Toc11095"/>
      <w:bookmarkStart w:id="140" w:name="_Toc1687_WPSOffice_Level1"/>
      <w:bookmarkStart w:id="141" w:name="_Toc25394_WPSOffice_Level1"/>
      <w:bookmarkStart w:id="142" w:name="_Toc18312_WPSOffice_Level1"/>
      <w:bookmarkStart w:id="143" w:name="_Toc2765_WPSOffice_Level1"/>
      <w:r>
        <w:rPr>
          <w:rFonts w:ascii="Times New Roman" w:hAnsi="Times New Roman" w:eastAsia="黑体" w:cs="Times New Roman"/>
          <w:sz w:val="28"/>
          <w:szCs w:val="28"/>
        </w:rPr>
        <w:t>一、报价函</w:t>
      </w:r>
      <w:bookmarkEnd w:id="138"/>
      <w:bookmarkEnd w:id="139"/>
      <w:bookmarkEnd w:id="140"/>
      <w:bookmarkEnd w:id="141"/>
      <w:bookmarkEnd w:id="142"/>
      <w:bookmarkEnd w:id="143"/>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合同包询比文件的全部内容(含补遗书第__号至第__号)，愿意以人民币(大写)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8.____________。</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jc w:val="right"/>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44" w:name="_Toc32350_WPSOffice_Level1"/>
      <w:bookmarkStart w:id="145" w:name="_Toc14563_WPSOffice_Level1"/>
      <w:bookmarkStart w:id="146" w:name="_Toc18668_WPSOffice_Level1"/>
      <w:bookmarkStart w:id="147" w:name="_Toc16271_WPSOffice_Level1"/>
      <w:bookmarkStart w:id="148" w:name="_Toc3764"/>
      <w:bookmarkStart w:id="149" w:name="_Toc8695_WPSOffice_Level1"/>
      <w:r>
        <w:rPr>
          <w:rFonts w:ascii="Times New Roman" w:hAnsi="Times New Roman" w:eastAsia="黑体" w:cs="Times New Roman"/>
          <w:sz w:val="28"/>
          <w:szCs w:val="28"/>
        </w:rPr>
        <w:t>二、法定代表人身份证明及授权委托书</w:t>
      </w:r>
      <w:bookmarkEnd w:id="144"/>
      <w:bookmarkEnd w:id="145"/>
      <w:bookmarkEnd w:id="146"/>
      <w:bookmarkEnd w:id="147"/>
      <w:bookmarkEnd w:id="148"/>
      <w:bookmarkEnd w:id="14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50" w:name="_Toc20803_WPSOffice_Level2"/>
      <w:bookmarkStart w:id="151" w:name="_Toc5153_WPSOffice_Level2"/>
      <w:r>
        <w:rPr>
          <w:rFonts w:ascii="Times New Roman" w:hAnsi="Times New Roman" w:eastAsia="黑体" w:cs="Times New Roman"/>
          <w:bCs/>
          <w:sz w:val="28"/>
          <w:szCs w:val="28"/>
        </w:rPr>
        <w:t>2-1 法定代表人身份证明</w:t>
      </w:r>
      <w:bookmarkEnd w:id="150"/>
      <w:bookmarkEnd w:id="15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52" w:name="_Toc12035_WPSOffice_Level2"/>
      <w:bookmarkStart w:id="153"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52"/>
      <w:bookmarkEnd w:id="153"/>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jc w:val="right"/>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440" w:lineRule="exact"/>
        <w:ind w:firstLine="1800" w:firstLineChars="750"/>
        <w:jc w:val="right"/>
        <w:rPr>
          <w:rFonts w:ascii="Times New Roman" w:hAnsi="Times New Roman" w:eastAsia="黑体" w:cs="Times New Roman"/>
          <w:sz w:val="24"/>
        </w:rPr>
      </w:pPr>
    </w:p>
    <w:p>
      <w:pPr>
        <w:spacing w:line="440" w:lineRule="exact"/>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topLinePunct/>
        <w:spacing w:line="440" w:lineRule="exact"/>
        <w:jc w:val="center"/>
        <w:outlineLvl w:val="0"/>
        <w:rPr>
          <w:rFonts w:ascii="Times New Roman" w:hAnsi="Times New Roman" w:eastAsia="黑体" w:cs="Times New Roman"/>
          <w:sz w:val="28"/>
          <w:szCs w:val="28"/>
        </w:rPr>
      </w:pPr>
      <w:bookmarkStart w:id="154" w:name="_Toc23545_WPSOffice_Level1"/>
      <w:bookmarkStart w:id="155" w:name="_Toc31445_WPSOffice_Level1"/>
      <w:bookmarkStart w:id="156" w:name="_Toc26477_WPSOffice_Level1"/>
      <w:bookmarkStart w:id="157" w:name="_Toc10436_WPSOffice_Level1"/>
      <w:bookmarkStart w:id="158" w:name="_Toc32136"/>
      <w:bookmarkStart w:id="159" w:name="_Toc7738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bookmarkStart w:id="160" w:name="_Toc2807_WPSOffice_Level2"/>
      <w:bookmarkStart w:id="161" w:name="_Toc27600_WPSOffice_Level2"/>
      <w:r>
        <w:rPr>
          <w:rFonts w:ascii="Times New Roman" w:hAnsi="Times New Roman" w:eastAsia="黑体" w:cs="Times New Roman"/>
          <w:sz w:val="28"/>
          <w:szCs w:val="28"/>
        </w:rPr>
        <w:t>供应商基本情况</w:t>
      </w:r>
      <w:bookmarkEnd w:id="154"/>
      <w:bookmarkEnd w:id="155"/>
      <w:bookmarkEnd w:id="156"/>
      <w:bookmarkEnd w:id="157"/>
      <w:bookmarkEnd w:id="158"/>
      <w:bookmarkEnd w:id="159"/>
      <w:bookmarkEnd w:id="160"/>
      <w:bookmarkEnd w:id="161"/>
    </w:p>
    <w:p>
      <w:pPr>
        <w:topLinePunct/>
        <w:spacing w:line="440" w:lineRule="exact"/>
        <w:jc w:val="center"/>
        <w:rPr>
          <w:rFonts w:ascii="Times New Roman" w:hAnsi="Times New Roman" w:cs="Times New Roman"/>
          <w:sz w:val="23"/>
          <w:szCs w:val="23"/>
        </w:rPr>
      </w:pPr>
    </w:p>
    <w:tbl>
      <w:tblPr>
        <w:tblStyle w:val="15"/>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outlineLvl w:val="0"/>
        <w:rPr>
          <w:rFonts w:ascii="Times New Roman" w:hAnsi="Times New Roman" w:cs="Times New Roman"/>
          <w:sz w:val="28"/>
          <w:szCs w:val="28"/>
        </w:rPr>
      </w:pPr>
      <w:bookmarkStart w:id="162" w:name="_Toc3772_WPSOffice_Level1"/>
      <w:bookmarkStart w:id="163" w:name="_Toc19004_WPSOffice_Level1"/>
      <w:bookmarkStart w:id="164" w:name="_Toc21158"/>
      <w:bookmarkStart w:id="165" w:name="_Toc20943_WPSOffice_Level1"/>
      <w:bookmarkStart w:id="166" w:name="_Toc5072_WPSOffice_Level1"/>
      <w:bookmarkStart w:id="167" w:name="_Toc18547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、近年类似业绩情况</w:t>
      </w:r>
      <w:bookmarkEnd w:id="162"/>
      <w:bookmarkEnd w:id="163"/>
      <w:bookmarkEnd w:id="164"/>
      <w:bookmarkEnd w:id="165"/>
      <w:bookmarkEnd w:id="166"/>
      <w:bookmarkEnd w:id="167"/>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签订</w:t>
            </w:r>
            <w:r>
              <w:rPr>
                <w:rFonts w:ascii="Times New Roman" w:hAnsi="Times New Roman" w:cs="Times New Roman"/>
                <w:szCs w:val="21"/>
              </w:rPr>
              <w:t>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截止</w:t>
            </w:r>
            <w:r>
              <w:rPr>
                <w:rFonts w:ascii="Times New Roman" w:hAnsi="Times New Roman" w:cs="Times New Roman"/>
                <w:szCs w:val="21"/>
              </w:rPr>
              <w:t>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负责人</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2、业绩证明材料要求：___提供合同复印件____。</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6"/>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widowControl/>
        <w:autoSpaceDE w:val="0"/>
        <w:autoSpaceDN w:val="0"/>
        <w:spacing w:line="360" w:lineRule="atLeast"/>
        <w:ind w:left="180"/>
        <w:jc w:val="center"/>
        <w:textAlignment w:val="bottom"/>
        <w:outlineLvl w:val="0"/>
        <w:rPr>
          <w:rFonts w:ascii="Times New Roman" w:hAnsi="Times New Roman" w:eastAsia="黑体" w:cs="Times New Roman"/>
          <w:sz w:val="28"/>
          <w:szCs w:val="28"/>
        </w:rPr>
      </w:pPr>
      <w:bookmarkStart w:id="168" w:name="_Toc29313_WPSOffice_Level1"/>
      <w:bookmarkStart w:id="169" w:name="_Toc16156_WPSOffice_Level1"/>
      <w:bookmarkStart w:id="170" w:name="_Toc8166_WPSOffice_Level1"/>
      <w:bookmarkStart w:id="171" w:name="_Toc25657"/>
      <w:bookmarkStart w:id="172" w:name="_Toc4739_WPSOffice_Level1"/>
      <w:bookmarkStart w:id="173" w:name="_Toc24001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、拟委任的主要人</w:t>
      </w:r>
      <w:bookmarkEnd w:id="168"/>
      <w:r>
        <w:rPr>
          <w:rFonts w:ascii="Times New Roman" w:hAnsi="Times New Roman" w:eastAsia="黑体" w:cs="Times New Roman"/>
          <w:sz w:val="28"/>
          <w:szCs w:val="28"/>
        </w:rPr>
        <w:t>员</w:t>
      </w:r>
      <w:bookmarkEnd w:id="169"/>
      <w:bookmarkEnd w:id="170"/>
      <w:bookmarkEnd w:id="171"/>
      <w:bookmarkEnd w:id="172"/>
      <w:bookmarkEnd w:id="173"/>
    </w:p>
    <w:p>
      <w:pPr>
        <w:pStyle w:val="6"/>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174" w:name="_Toc24686_WPSOffice_Level2"/>
      <w:bookmarkStart w:id="175" w:name="_Toc6185_WPSOffice_Level2"/>
      <w:r>
        <w:rPr>
          <w:rFonts w:ascii="Times New Roman" w:hAnsi="Times New Roman" w:eastAsia="黑体" w:cs="Times New Roman"/>
          <w:sz w:val="28"/>
          <w:szCs w:val="28"/>
        </w:rPr>
        <w:t>拟委任的</w:t>
      </w:r>
      <w:r>
        <w:rPr>
          <w:rFonts w:hint="eastAsia" w:ascii="Times New Roman" w:hAnsi="Times New Roman" w:eastAsia="黑体" w:cs="Times New Roman"/>
          <w:sz w:val="28"/>
          <w:szCs w:val="28"/>
        </w:rPr>
        <w:t>主要人员</w:t>
      </w:r>
      <w:r>
        <w:rPr>
          <w:rFonts w:ascii="Times New Roman" w:hAnsi="Times New Roman" w:eastAsia="黑体" w:cs="Times New Roman"/>
          <w:sz w:val="28"/>
          <w:szCs w:val="28"/>
        </w:rPr>
        <w:t>资历表</w:t>
      </w:r>
      <w:bookmarkEnd w:id="174"/>
      <w:bookmarkEnd w:id="175"/>
    </w:p>
    <w:tbl>
      <w:tblPr>
        <w:tblStyle w:val="15"/>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公司单位职    务</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4053" w:type="dxa"/>
            <w:gridSpan w:val="4"/>
            <w:vAlign w:val="center"/>
          </w:tcPr>
          <w:p>
            <w:pPr>
              <w:pStyle w:val="23"/>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hint="eastAsia" w:ascii="Times New Roman" w:hAnsi="Times New Roman" w:cs="Times New Roman"/>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pPr>
              <w:pStyle w:val="23"/>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bl>
    <w:p>
      <w:pPr>
        <w:pStyle w:val="7"/>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1、一个人员对应填写一张本资历表。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w:t>
      </w:r>
      <w:r>
        <w:rPr>
          <w:rFonts w:ascii="Times New Roman" w:hAnsi="Times New Roman" w:eastAsia="黑体" w:cs="Times New Roman"/>
          <w:szCs w:val="21"/>
        </w:rPr>
        <w:t>在本表后应附有其有效的身份证</w:t>
      </w:r>
      <w:r>
        <w:rPr>
          <w:rFonts w:hint="eastAsia" w:ascii="Times New Roman" w:hAnsi="Times New Roman" w:eastAsia="黑体" w:cs="Times New Roman"/>
          <w:szCs w:val="21"/>
        </w:rPr>
        <w:t>、响应文件递交截止时间前一年内连续三个月在供应商本单位的社保缴费记录、____________________（其他证明材料）</w:t>
      </w:r>
      <w:r>
        <w:rPr>
          <w:rFonts w:ascii="Times New Roman" w:hAnsi="Times New Roman" w:eastAsia="黑体" w:cs="Times New Roman"/>
          <w:szCs w:val="21"/>
        </w:rPr>
        <w:t>的复印件。所有证件的扫描件均应清晰可辨，否则，将被认为证书无效。</w:t>
      </w:r>
    </w:p>
    <w:p>
      <w:pPr>
        <w:pStyle w:val="7"/>
        <w:spacing w:after="0" w:line="240" w:lineRule="atLeast"/>
        <w:ind w:left="630" w:leftChars="100" w:hanging="420" w:hangingChars="200"/>
        <w:rPr>
          <w:rFonts w:ascii="Times New Roman" w:hAnsi="Times New Roman" w:eastAsia="黑体" w:cs="Times New Roman"/>
          <w:bCs/>
          <w:kern w:val="0"/>
          <w:szCs w:val="21"/>
        </w:rPr>
      </w:pPr>
    </w:p>
    <w:p>
      <w:pPr>
        <w:pStyle w:val="7"/>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outlineLvl w:val="0"/>
        <w:rPr>
          <w:rFonts w:ascii="Times New Roman" w:hAnsi="Times New Roman" w:eastAsia="黑体" w:cs="Times New Roman"/>
          <w:sz w:val="28"/>
          <w:szCs w:val="28"/>
        </w:rPr>
      </w:pPr>
      <w:bookmarkStart w:id="176" w:name="_Toc12019_WPSOffice_Level1"/>
      <w:bookmarkStart w:id="177" w:name="_Toc32222_WPSOffice_Level1"/>
      <w:bookmarkStart w:id="178" w:name="_Toc3893_WPSOffice_Level1"/>
      <w:bookmarkStart w:id="179" w:name="_Toc9267_WPSOffice_Level1"/>
      <w:bookmarkStart w:id="180" w:name="_Toc27500"/>
      <w:bookmarkStart w:id="181"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76"/>
      <w:bookmarkEnd w:id="177"/>
      <w:bookmarkEnd w:id="178"/>
      <w:bookmarkEnd w:id="179"/>
      <w:bookmarkEnd w:id="180"/>
      <w:bookmarkEnd w:id="181"/>
    </w:p>
    <w:p>
      <w:pPr>
        <w:topLinePunct/>
        <w:spacing w:line="440" w:lineRule="exact"/>
        <w:rPr>
          <w:rFonts w:ascii="Times New Roman" w:hAnsi="Times New Roman" w:cs="Times New Roman"/>
          <w:bCs/>
          <w:sz w:val="23"/>
          <w:szCs w:val="23"/>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6"/>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6"/>
        <w:jc w:val="right"/>
        <w:rPr>
          <w:u w:val="single"/>
        </w:rPr>
      </w:pP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6"/>
      </w:pPr>
    </w:p>
    <w:p>
      <w:pPr>
        <w:pStyle w:val="6"/>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182" w:name="_Toc1483_WPSOffice_Level1"/>
      <w:bookmarkStart w:id="183" w:name="_Toc24999_WPSOffice_Level1"/>
      <w:bookmarkStart w:id="184" w:name="_Toc2048_WPSOffice_Level1"/>
      <w:bookmarkStart w:id="185" w:name="_Toc23493_WPSOffice_Level1"/>
      <w:bookmarkStart w:id="186" w:name="_Toc31596_WPSOffice_Level1"/>
      <w:bookmarkStart w:id="187" w:name="_Toc5631"/>
      <w:r>
        <w:rPr>
          <w:rFonts w:hint="eastAsia" w:ascii="Times New Roman" w:hAnsi="Times New Roman" w:eastAsia="黑体" w:cs="Times New Roman"/>
          <w:sz w:val="28"/>
          <w:szCs w:val="28"/>
        </w:rPr>
        <w:t>七</w:t>
      </w:r>
      <w:r>
        <w:rPr>
          <w:rFonts w:ascii="Times New Roman" w:hAnsi="Times New Roman" w:eastAsia="黑体" w:cs="Times New Roman"/>
          <w:sz w:val="28"/>
          <w:szCs w:val="28"/>
        </w:rPr>
        <w:t>、</w:t>
      </w:r>
      <w:bookmarkEnd w:id="182"/>
      <w:bookmarkEnd w:id="183"/>
      <w:bookmarkEnd w:id="184"/>
      <w:bookmarkEnd w:id="185"/>
      <w:r>
        <w:rPr>
          <w:rFonts w:hint="eastAsia" w:ascii="Times New Roman" w:hAnsi="Times New Roman" w:eastAsia="黑体" w:cs="Times New Roman"/>
          <w:sz w:val="28"/>
          <w:szCs w:val="28"/>
        </w:rPr>
        <w:t>技术方案</w:t>
      </w:r>
      <w:bookmarkEnd w:id="186"/>
      <w:bookmarkEnd w:id="187"/>
    </w:p>
    <w:p>
      <w:pPr>
        <w:spacing w:line="440" w:lineRule="exact"/>
        <w:rPr>
          <w:rFonts w:ascii="Times New Roman" w:hAnsi="Times New Roman" w:eastAsia="黑体" w:cs="Times New Roman"/>
          <w:sz w:val="20"/>
          <w:szCs w:val="20"/>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技术方案</w:t>
      </w:r>
      <w:r>
        <w:rPr>
          <w:rFonts w:ascii="Times New Roman" w:hAnsi="Times New Roman" w:cs="Times New Roman"/>
          <w:sz w:val="24"/>
        </w:rPr>
        <w:t>(</w:t>
      </w:r>
      <w:r>
        <w:rPr>
          <w:rFonts w:hint="eastAsia" w:ascii="Times New Roman" w:hAnsi="Times New Roman" w:cs="Times New Roman"/>
          <w:sz w:val="24"/>
        </w:rPr>
        <w:t>应对第五章采购需求及清单有关要求进行逐项分析和有效响应，</w:t>
      </w:r>
      <w:r>
        <w:rPr>
          <w:rFonts w:ascii="Times New Roman" w:hAnsi="Times New Roman" w:cs="Times New Roman"/>
          <w:sz w:val="24"/>
        </w:rPr>
        <w:t>文字宜精炼、内容具有针对性)</w:t>
      </w:r>
      <w:r>
        <w:rPr>
          <w:rFonts w:hint="eastAsia" w:ascii="Times New Roman" w:hAnsi="Times New Roman" w:cs="Times New Roman"/>
          <w:sz w:val="24"/>
        </w:rPr>
        <w:t>。</w:t>
      </w:r>
    </w:p>
    <w:p>
      <w:pPr>
        <w:numPr>
          <w:ilvl w:val="255"/>
          <w:numId w:val="0"/>
        </w:numPr>
        <w:rPr>
          <w:rFonts w:ascii="Times New Roman" w:hAnsi="Times New Roman" w:cs="Times New Roman"/>
          <w:sz w:val="24"/>
        </w:rPr>
      </w:pPr>
      <w:bookmarkStart w:id="188" w:name="_Toc16609_WPSOffice_Level2"/>
      <w:bookmarkStart w:id="189" w:name="_Toc4794_WPSOffice_Level2"/>
      <w:r>
        <w:rPr>
          <w:rFonts w:ascii="Times New Roman" w:hAnsi="Times New Roman" w:cs="Times New Roman"/>
          <w:sz w:val="24"/>
        </w:rPr>
        <w:br w:type="page"/>
      </w:r>
    </w:p>
    <w:bookmarkEnd w:id="188"/>
    <w:bookmarkEnd w:id="189"/>
    <w:p>
      <w:pPr>
        <w:spacing w:line="440" w:lineRule="exact"/>
        <w:jc w:val="center"/>
        <w:outlineLvl w:val="0"/>
        <w:rPr>
          <w:rFonts w:ascii="Times New Roman" w:hAnsi="Times New Roman" w:eastAsia="黑体" w:cs="Times New Roman"/>
          <w:sz w:val="28"/>
          <w:szCs w:val="28"/>
        </w:rPr>
      </w:pPr>
      <w:bookmarkStart w:id="190" w:name="_Toc22303_WPSOffice_Level1"/>
      <w:bookmarkStart w:id="191" w:name="_Toc15887_WPSOffice_Level1"/>
      <w:bookmarkStart w:id="192" w:name="_Toc13165_WPSOffice_Level1"/>
      <w:bookmarkStart w:id="193" w:name="_Toc14835"/>
      <w:bookmarkStart w:id="194" w:name="_Toc2428_WPSOffice_Level1"/>
      <w:bookmarkStart w:id="195" w:name="_Toc11219_WPSOffice_Level1"/>
      <w:r>
        <w:rPr>
          <w:rFonts w:hint="eastAsia" w:ascii="Times New Roman" w:hAnsi="Times New Roman" w:eastAsia="黑体" w:cs="Times New Roman"/>
          <w:sz w:val="28"/>
          <w:szCs w:val="28"/>
        </w:rPr>
        <w:t>八</w:t>
      </w:r>
      <w:r>
        <w:rPr>
          <w:rFonts w:ascii="Times New Roman" w:hAnsi="Times New Roman" w:eastAsia="黑体" w:cs="Times New Roman"/>
          <w:sz w:val="28"/>
          <w:szCs w:val="28"/>
        </w:rPr>
        <w:t>、其它</w:t>
      </w:r>
      <w:bookmarkEnd w:id="190"/>
      <w:r>
        <w:rPr>
          <w:rFonts w:ascii="Times New Roman" w:hAnsi="Times New Roman" w:eastAsia="黑体" w:cs="Times New Roman"/>
          <w:sz w:val="28"/>
          <w:szCs w:val="28"/>
        </w:rPr>
        <w:t>材料</w:t>
      </w:r>
      <w:bookmarkEnd w:id="191"/>
      <w:bookmarkEnd w:id="192"/>
      <w:bookmarkEnd w:id="193"/>
      <w:bookmarkEnd w:id="194"/>
      <w:bookmarkEnd w:id="195"/>
    </w:p>
    <w:p>
      <w:pPr>
        <w:pStyle w:val="21"/>
        <w:rPr>
          <w:rFonts w:hint="default" w:ascii="Times New Roman" w:hAnsi="Times New Roman"/>
          <w:color w:val="auto"/>
          <w:szCs w:val="28"/>
        </w:rPr>
      </w:pPr>
    </w:p>
    <w:p>
      <w:pPr>
        <w:spacing w:line="480" w:lineRule="auto"/>
        <w:rPr>
          <w:rFonts w:ascii="宋体" w:hAnsi="宋体" w:cs="宋体"/>
          <w:bCs/>
          <w:szCs w:val="28"/>
        </w:rPr>
      </w:pPr>
    </w:p>
    <w:p>
      <w:pPr>
        <w:spacing w:line="480" w:lineRule="auto"/>
        <w:rPr>
          <w:rFonts w:ascii="宋体" w:hAnsi="宋体" w:cs="宋体"/>
          <w:bCs/>
          <w:szCs w:val="28"/>
        </w:rPr>
      </w:pPr>
    </w:p>
    <w:p>
      <w:pPr>
        <w:spacing w:line="480" w:lineRule="auto"/>
      </w:pPr>
    </w:p>
    <w:p>
      <w:pPr>
        <w:spacing w:line="480" w:lineRule="auto"/>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jc w:val="center"/>
                </w:pPr>
                <w:r>
                  <w:fldChar w:fldCharType="begin"/>
                </w:r>
                <w:r>
                  <w:rPr>
                    <w:rStyle w:val="18"/>
                  </w:rPr>
                  <w:instrText xml:space="preserve"> PAGE </w:instrText>
                </w:r>
                <w:r>
                  <w:fldChar w:fldCharType="separate"/>
                </w:r>
                <w:r>
                  <w:rPr>
                    <w:rStyle w:val="18"/>
                  </w:rPr>
                  <w:t>35</w:t>
                </w:r>
                <w:r>
                  <w:fldChar w:fldCharType="end"/>
                </w: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4"/>
    <w:multiLevelType w:val="singleLevel"/>
    <w:tmpl w:val="00000004"/>
    <w:lvl w:ilvl="0" w:tentative="0">
      <w:start w:val="1"/>
      <w:numFmt w:val="chineseCounting"/>
      <w:suff w:val="nothing"/>
      <w:lvlText w:val="（%1）"/>
      <w:lvlJc w:val="left"/>
    </w:lvl>
  </w:abstractNum>
  <w:abstractNum w:abstractNumId="2">
    <w:nsid w:val="0AD62F12"/>
    <w:multiLevelType w:val="singleLevel"/>
    <w:tmpl w:val="0AD62F12"/>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ascii="Times New Roman" w:hAnsi="Times New Roman" w:cs="Times New Roman"/>
        <w:b/>
        <w:bCs/>
        <w:sz w:val="22"/>
        <w:szCs w:val="22"/>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C5997"/>
    <w:rsid w:val="00117F51"/>
    <w:rsid w:val="00840A4E"/>
    <w:rsid w:val="0089226E"/>
    <w:rsid w:val="00892C91"/>
    <w:rsid w:val="008D3B84"/>
    <w:rsid w:val="009C5997"/>
    <w:rsid w:val="009C607B"/>
    <w:rsid w:val="00BC1A7B"/>
    <w:rsid w:val="01B022D8"/>
    <w:rsid w:val="025D3B3A"/>
    <w:rsid w:val="04864835"/>
    <w:rsid w:val="04936B61"/>
    <w:rsid w:val="054B4AF5"/>
    <w:rsid w:val="05540194"/>
    <w:rsid w:val="05BD5885"/>
    <w:rsid w:val="06E82BC0"/>
    <w:rsid w:val="0788465B"/>
    <w:rsid w:val="08846DB1"/>
    <w:rsid w:val="09BC683E"/>
    <w:rsid w:val="0AE93662"/>
    <w:rsid w:val="0CA535B9"/>
    <w:rsid w:val="0D764784"/>
    <w:rsid w:val="0DB735A4"/>
    <w:rsid w:val="0F583D7F"/>
    <w:rsid w:val="0FB82885"/>
    <w:rsid w:val="108F25B6"/>
    <w:rsid w:val="14175168"/>
    <w:rsid w:val="14357E46"/>
    <w:rsid w:val="14AD2260"/>
    <w:rsid w:val="155E69FB"/>
    <w:rsid w:val="15701AB2"/>
    <w:rsid w:val="1961262A"/>
    <w:rsid w:val="19C03E85"/>
    <w:rsid w:val="1AAE5D2F"/>
    <w:rsid w:val="1ACA30A1"/>
    <w:rsid w:val="1BB37B8D"/>
    <w:rsid w:val="1D021460"/>
    <w:rsid w:val="1E25455A"/>
    <w:rsid w:val="1F443106"/>
    <w:rsid w:val="1FDE2C12"/>
    <w:rsid w:val="24013373"/>
    <w:rsid w:val="25A4045A"/>
    <w:rsid w:val="25B12F93"/>
    <w:rsid w:val="25B92BDD"/>
    <w:rsid w:val="25CE54D7"/>
    <w:rsid w:val="260E1D77"/>
    <w:rsid w:val="287D035A"/>
    <w:rsid w:val="2916736D"/>
    <w:rsid w:val="29567CBD"/>
    <w:rsid w:val="2B85012D"/>
    <w:rsid w:val="2C3167C0"/>
    <w:rsid w:val="2C6002AC"/>
    <w:rsid w:val="2CA60F5C"/>
    <w:rsid w:val="2CAB706C"/>
    <w:rsid w:val="2D60052F"/>
    <w:rsid w:val="2ECD27D0"/>
    <w:rsid w:val="302723B3"/>
    <w:rsid w:val="310B5304"/>
    <w:rsid w:val="31735143"/>
    <w:rsid w:val="32BE1015"/>
    <w:rsid w:val="335C6769"/>
    <w:rsid w:val="35507CB7"/>
    <w:rsid w:val="36B40E13"/>
    <w:rsid w:val="37040B1B"/>
    <w:rsid w:val="371C07DF"/>
    <w:rsid w:val="375C1AF2"/>
    <w:rsid w:val="37866EE4"/>
    <w:rsid w:val="38C84008"/>
    <w:rsid w:val="38FA68B7"/>
    <w:rsid w:val="3AD132FD"/>
    <w:rsid w:val="3CB925E5"/>
    <w:rsid w:val="3E55633E"/>
    <w:rsid w:val="3E574F0E"/>
    <w:rsid w:val="3E832EAB"/>
    <w:rsid w:val="3EFB02A8"/>
    <w:rsid w:val="3FA81639"/>
    <w:rsid w:val="404E3464"/>
    <w:rsid w:val="40667058"/>
    <w:rsid w:val="41251208"/>
    <w:rsid w:val="41F1357E"/>
    <w:rsid w:val="42537038"/>
    <w:rsid w:val="42641245"/>
    <w:rsid w:val="433C4B7C"/>
    <w:rsid w:val="443053EF"/>
    <w:rsid w:val="461922AF"/>
    <w:rsid w:val="46684ED5"/>
    <w:rsid w:val="46845C4E"/>
    <w:rsid w:val="47A066A5"/>
    <w:rsid w:val="47E349BA"/>
    <w:rsid w:val="48C61658"/>
    <w:rsid w:val="495A0CAC"/>
    <w:rsid w:val="498D2E30"/>
    <w:rsid w:val="4B7C57C2"/>
    <w:rsid w:val="4CCC601B"/>
    <w:rsid w:val="4D3B0E43"/>
    <w:rsid w:val="4E4A08F5"/>
    <w:rsid w:val="4E7E1755"/>
    <w:rsid w:val="506F7733"/>
    <w:rsid w:val="52045C59"/>
    <w:rsid w:val="52360B8B"/>
    <w:rsid w:val="52546BE0"/>
    <w:rsid w:val="533B38FC"/>
    <w:rsid w:val="53A23274"/>
    <w:rsid w:val="54276288"/>
    <w:rsid w:val="550B381F"/>
    <w:rsid w:val="55AE4859"/>
    <w:rsid w:val="571E0BC4"/>
    <w:rsid w:val="57EF7635"/>
    <w:rsid w:val="59AC10B0"/>
    <w:rsid w:val="5A9213E7"/>
    <w:rsid w:val="5C4A4BB0"/>
    <w:rsid w:val="5CC76201"/>
    <w:rsid w:val="5D4E247E"/>
    <w:rsid w:val="5DF71783"/>
    <w:rsid w:val="5DF748C4"/>
    <w:rsid w:val="5F390337"/>
    <w:rsid w:val="601E25DC"/>
    <w:rsid w:val="60792484"/>
    <w:rsid w:val="62E73159"/>
    <w:rsid w:val="6327270E"/>
    <w:rsid w:val="63CC2F79"/>
    <w:rsid w:val="63FF1982"/>
    <w:rsid w:val="645E16AA"/>
    <w:rsid w:val="659E055B"/>
    <w:rsid w:val="65A74E21"/>
    <w:rsid w:val="65B71BA1"/>
    <w:rsid w:val="664B4DB3"/>
    <w:rsid w:val="67665A7A"/>
    <w:rsid w:val="67D50D5B"/>
    <w:rsid w:val="685017A0"/>
    <w:rsid w:val="6ADE6621"/>
    <w:rsid w:val="6B5B64FA"/>
    <w:rsid w:val="6CE150BD"/>
    <w:rsid w:val="6D2F03D8"/>
    <w:rsid w:val="6DCB0F3B"/>
    <w:rsid w:val="705F6A24"/>
    <w:rsid w:val="70BD1C22"/>
    <w:rsid w:val="71DD56F2"/>
    <w:rsid w:val="723E103F"/>
    <w:rsid w:val="76CC46E8"/>
    <w:rsid w:val="78EE24F1"/>
    <w:rsid w:val="7A0F22D2"/>
    <w:rsid w:val="7E1A3F8B"/>
    <w:rsid w:val="7F727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losing"/>
    <w:basedOn w:val="1"/>
    <w:unhideWhenUsed/>
    <w:qFormat/>
    <w:uiPriority w:val="99"/>
    <w:pPr>
      <w:ind w:left="100" w:leftChars="2100"/>
    </w:pPr>
  </w:style>
  <w:style w:type="paragraph" w:styleId="5">
    <w:name w:val="annotation text"/>
    <w:basedOn w:val="1"/>
    <w:link w:val="25"/>
    <w:qFormat/>
    <w:uiPriority w:val="0"/>
    <w:pPr>
      <w:jc w:val="left"/>
    </w:pPr>
  </w:style>
  <w:style w:type="paragraph" w:styleId="6">
    <w:name w:val="Body Text"/>
    <w:basedOn w:val="1"/>
    <w:qFormat/>
    <w:uiPriority w:val="0"/>
    <w:pPr>
      <w:spacing w:after="120"/>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Balloon Text"/>
    <w:basedOn w:val="1"/>
    <w:link w:val="2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5"/>
    <w:next w:val="5"/>
    <w:link w:val="26"/>
    <w:qFormat/>
    <w:uiPriority w:val="0"/>
    <w:rPr>
      <w:b/>
      <w:bCs/>
    </w:rPr>
  </w:style>
  <w:style w:type="paragraph" w:styleId="14">
    <w:name w:val="Body Text First Indent 2"/>
    <w:basedOn w:val="7"/>
    <w:qFormat/>
    <w:uiPriority w:val="99"/>
    <w:pPr>
      <w:ind w:firstLine="420" w:firstLine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annotation reference"/>
    <w:basedOn w:val="16"/>
    <w:qFormat/>
    <w:uiPriority w:val="0"/>
    <w:rPr>
      <w:sz w:val="21"/>
      <w:szCs w:val="21"/>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22">
    <w:name w:val="List Paragraph"/>
    <w:basedOn w:val="1"/>
    <w:qFormat/>
    <w:uiPriority w:val="34"/>
    <w:pPr>
      <w:ind w:firstLine="420" w:firstLineChars="200"/>
    </w:pPr>
  </w:style>
  <w:style w:type="paragraph" w:customStyle="1" w:styleId="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批注文字 Char"/>
    <w:basedOn w:val="16"/>
    <w:link w:val="5"/>
    <w:qFormat/>
    <w:uiPriority w:val="0"/>
    <w:rPr>
      <w:kern w:val="2"/>
      <w:sz w:val="21"/>
      <w:szCs w:val="24"/>
    </w:rPr>
  </w:style>
  <w:style w:type="character" w:customStyle="1" w:styleId="26">
    <w:name w:val="批注主题 Char"/>
    <w:basedOn w:val="25"/>
    <w:link w:val="13"/>
    <w:qFormat/>
    <w:uiPriority w:val="0"/>
    <w:rPr>
      <w:b/>
      <w:bCs/>
      <w:kern w:val="2"/>
      <w:sz w:val="21"/>
      <w:szCs w:val="24"/>
    </w:rPr>
  </w:style>
  <w:style w:type="character" w:customStyle="1" w:styleId="27">
    <w:name w:val="页眉 Char"/>
    <w:basedOn w:val="16"/>
    <w:link w:val="11"/>
    <w:qFormat/>
    <w:uiPriority w:val="0"/>
    <w:rPr>
      <w:rFonts w:asciiTheme="minorHAnsi" w:hAnsiTheme="minorHAnsi" w:eastAsiaTheme="minorEastAsia" w:cstheme="minorBidi"/>
      <w:kern w:val="2"/>
      <w:sz w:val="18"/>
      <w:szCs w:val="18"/>
    </w:rPr>
  </w:style>
  <w:style w:type="character" w:customStyle="1" w:styleId="28">
    <w:name w:val="批注框文本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2067</Words>
  <Characters>11786</Characters>
  <Lines>98</Lines>
  <Paragraphs>27</Paragraphs>
  <TotalTime>1</TotalTime>
  <ScaleCrop>false</ScaleCrop>
  <LinksUpToDate>false</LinksUpToDate>
  <CharactersWithSpaces>13826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2022-02-19T04:26:00Z</dcterms:created>
  <dc:creator>Administrator</dc:creator>
  <cp:lastModifiedBy>朱红亮</cp:lastModifiedBy>
  <cp:lastPrinted>2022-03-17T08:25:00Z</cp:lastPrinted>
  <dcterms:modified xsi:type="dcterms:W3CDTF">2022-03-17T09:21:20Z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88382E8C240F4688BF72646B967E5AD2</vt:lpwstr>
  </property>
</Properties>
</file>