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9.29日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525632585"/>
      <w:bookmarkStart w:id="4" w:name="_Toc4489_WPSOffice_Level2"/>
      <w:bookmarkStart w:id="5" w:name="_Toc24354_WPSOffice_Level2"/>
      <w:bookmarkStart w:id="6" w:name="_Toc6496_WPSOffice_Level2"/>
      <w:bookmarkStart w:id="7" w:name="_Toc12765"/>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安徽交运集团汽车销售有限公司9.29车辆采购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2台轿车，3台商务车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23266_WPSOffice_Level2"/>
      <w:bookmarkStart w:id="13" w:name="_Toc10274"/>
      <w:bookmarkStart w:id="14" w:name="_Toc8128_WPSOffice_Level2"/>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采购2台别克君越轿车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采购3台别克GL8商务车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1个合同包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150万元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个日历天内</w:t>
      </w:r>
      <w:r>
        <w:rPr>
          <w:rFonts w:hint="eastAsia" w:cs="宋体"/>
          <w:sz w:val="21"/>
          <w:szCs w:val="21"/>
          <w:u w:val="single"/>
          <w:lang w:eastAsia="zh-CN"/>
        </w:rPr>
        <w:t>。</w:t>
      </w:r>
    </w:p>
    <w:p>
      <w:pPr>
        <w:pStyle w:val="31"/>
        <w:spacing w:before="143"/>
        <w:ind w:right="1430"/>
        <w:jc w:val="left"/>
        <w:rPr>
          <w:sz w:val="24"/>
          <w:highlight w:val="green"/>
          <w:lang w:val="en-US"/>
        </w:rPr>
      </w:pPr>
      <w:r>
        <w:rPr>
          <w:rFonts w:hint="eastAsia"/>
          <w:sz w:val="24"/>
          <w:highlight w:val="green"/>
          <w:lang w:val="en-US"/>
        </w:rPr>
        <w:t>备注：</w:t>
      </w:r>
    </w:p>
    <w:p>
      <w:pPr>
        <w:pStyle w:val="5"/>
        <w:spacing w:line="560" w:lineRule="exact"/>
        <w:ind w:firstLine="420"/>
        <w:rPr>
          <w:rFonts w:hint="default" w:cs="宋体"/>
          <w:sz w:val="21"/>
          <w:szCs w:val="21"/>
          <w:u w:val="single"/>
          <w:lang w:val="en-US" w:eastAsia="zh-CN"/>
        </w:rPr>
      </w:pPr>
      <w:r>
        <w:rPr>
          <w:rFonts w:hint="eastAsia"/>
          <w:sz w:val="24"/>
          <w:highlight w:val="green"/>
        </w:rPr>
        <w:t>中标费用包括销售</w:t>
      </w:r>
      <w:r>
        <w:rPr>
          <w:rFonts w:hint="eastAsia"/>
          <w:sz w:val="24"/>
          <w:highlight w:val="green"/>
          <w:lang w:eastAsia="zh-CN"/>
        </w:rPr>
        <w:t>差价</w:t>
      </w:r>
      <w:r>
        <w:rPr>
          <w:rFonts w:hint="eastAsia"/>
          <w:sz w:val="24"/>
          <w:highlight w:val="green"/>
          <w:lang w:val="en-US" w:eastAsia="zh-CN"/>
        </w:rPr>
        <w:t>(响应文件应标明销售差价，合同价为中标价减去销售差价)</w:t>
      </w:r>
      <w:r>
        <w:rPr>
          <w:rFonts w:hint="eastAsia"/>
          <w:sz w:val="24"/>
          <w:highlight w:val="green"/>
        </w:rPr>
        <w:t xml:space="preserve">、改装费、运输费、材料费、验收、培训、技术服务、安装调试费相关费用。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6388"/>
      <w:bookmarkStart w:id="22" w:name="_Toc22379_WPSOffice_Level2"/>
      <w:bookmarkStart w:id="23" w:name="_Toc525632587"/>
      <w:bookmarkStart w:id="24" w:name="_Toc3714"/>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同类车辆销售业绩不得少于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25666_WPSOffice_Level2"/>
      <w:bookmarkStart w:id="28" w:name="_Toc29452_WPSOffice_Level2"/>
      <w:bookmarkStart w:id="29" w:name="_Toc525632588"/>
      <w:bookmarkStart w:id="30" w:name="_Toc4109_WPSOffice_Level2"/>
      <w:bookmarkStart w:id="31" w:name="_Toc4751"/>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10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10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08</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525632592"/>
      <w:bookmarkStart w:id="38" w:name="_Toc14943_WPSOffice_Level2"/>
      <w:bookmarkStart w:id="39" w:name="_Toc8501"/>
      <w:bookmarkStart w:id="40" w:name="_Toc20572_WPSOffice_Level2"/>
      <w:bookmarkStart w:id="41" w:name="_Toc321_WPSOffice_Level2"/>
      <w:bookmarkStart w:id="42" w:name="_Toc26829"/>
      <w:bookmarkStart w:id="43" w:name="_Toc2857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9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29</w:t>
      </w:r>
      <w:bookmarkStart w:id="165" w:name="_GoBack"/>
      <w:bookmarkEnd w:id="165"/>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left="420" w:leftChars="200"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报价要标明销售代理费（合同价格</w:t>
      </w:r>
      <w:r>
        <w:rPr>
          <w:rFonts w:hint="eastAsia" w:ascii="Times New Roman" w:hAnsi="Times New Roman" w:cs="Times New Roman"/>
          <w:color w:val="auto"/>
          <w:highlight w:val="none"/>
          <w:lang w:val="en-US" w:eastAsia="zh-CN"/>
        </w:rPr>
        <w:t>=中标价-销售代理费</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1、2台轿车</w:t>
      </w:r>
    </w:p>
    <w:tbl>
      <w:tblPr>
        <w:tblStyle w:val="11"/>
        <w:tblW w:w="8391" w:type="dxa"/>
        <w:tblInd w:w="93" w:type="dxa"/>
        <w:shd w:val="clear" w:color="auto" w:fill="auto"/>
        <w:tblLayout w:type="autofit"/>
        <w:tblCellMar>
          <w:top w:w="0" w:type="dxa"/>
          <w:left w:w="108" w:type="dxa"/>
          <w:bottom w:w="0" w:type="dxa"/>
          <w:right w:w="108" w:type="dxa"/>
        </w:tblCellMar>
      </w:tblPr>
      <w:tblGrid>
        <w:gridCol w:w="4236"/>
        <w:gridCol w:w="4155"/>
      </w:tblGrid>
      <w:tr>
        <w:tblPrEx>
          <w:shd w:val="clear" w:color="auto" w:fill="auto"/>
          <w:tblCellMar>
            <w:top w:w="0" w:type="dxa"/>
            <w:left w:w="108" w:type="dxa"/>
            <w:bottom w:w="0" w:type="dxa"/>
            <w:right w:w="108" w:type="dxa"/>
          </w:tblCellMar>
        </w:tblPrEx>
        <w:trPr>
          <w:trHeight w:val="285" w:hRule="atLeast"/>
        </w:trPr>
        <w:tc>
          <w:tcPr>
            <w:tcW w:w="8391" w:type="dxa"/>
            <w:gridSpan w:val="2"/>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长度(mm)</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5026</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宽度(mm)</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1866</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高度(mm)</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1459</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轴距(mm)</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2905</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轮距(前/后)(mm)</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1599/1602</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整备质量(kg)</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1535</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后备箱容积(L)</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523</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轮胎</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235/55R17</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油箱容积(L)</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r>
      <w:tr>
        <w:tblPrEx>
          <w:tblCellMar>
            <w:top w:w="0" w:type="dxa"/>
            <w:left w:w="108" w:type="dxa"/>
            <w:bottom w:w="0" w:type="dxa"/>
            <w:right w:w="108" w:type="dxa"/>
          </w:tblCellMar>
        </w:tblPrEx>
        <w:trPr>
          <w:trHeight w:val="285" w:hRule="atLeast"/>
        </w:trPr>
        <w:tc>
          <w:tcPr>
            <w:tcW w:w="8391" w:type="dxa"/>
            <w:gridSpan w:val="2"/>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性能参数</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发动机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1.5T SIDI直喷涡轮增压发动机</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排量(ml)</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1490</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最大额定功率(kW/rpm)</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124/5600</w:t>
            </w:r>
          </w:p>
        </w:tc>
      </w:tr>
      <w:tr>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最大扭矩(Nm/rpm)</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250/1700~4400</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变速箱</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9速HYDRA-MATIC智能变速箱</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加速性能 0~100 km/h(s)*</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9.6</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最高车速(km/h)</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205</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综合工况油耗(L/100km)</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燃油及排放</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符合国六号排放标准/92号或以上无铅汽油</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底盘悬架（前/后）</w:t>
            </w:r>
          </w:p>
        </w:tc>
        <w:tc>
          <w:tcPr>
            <w:tcW w:w="4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麦弗逊悬挂/多连杆悬挂 </w:t>
            </w: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转向系统</w:t>
            </w:r>
          </w:p>
        </w:tc>
        <w:tc>
          <w:tcPr>
            <w:tcW w:w="4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EPS电子助力转向系统 </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制动系统 （前/后）</w:t>
            </w:r>
          </w:p>
        </w:tc>
        <w:tc>
          <w:tcPr>
            <w:tcW w:w="4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FNC专利技术前通风盘式/后盘式，带制动盘清洁功能</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运动模式</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eConnect智能互联科技</w:t>
            </w:r>
          </w:p>
        </w:tc>
        <w:tc>
          <w:tcPr>
            <w:tcW w:w="4155" w:type="dxa"/>
            <w:tcBorders>
              <w:top w:val="single" w:color="000000" w:sz="4" w:space="0"/>
              <w:left w:val="nil"/>
              <w:bottom w:val="single" w:color="000000" w:sz="4" w:space="0"/>
              <w:right w:val="nil"/>
            </w:tcBorders>
            <w:shd w:val="clear" w:color="auto" w:fill="A6A6A6"/>
            <w:vAlign w:val="center"/>
          </w:tcPr>
          <w:p>
            <w:pPr>
              <w:jc w:val="left"/>
              <w:rPr>
                <w:rFonts w:hint="eastAsia" w:ascii="微软雅黑" w:hAnsi="微软雅黑" w:eastAsia="微软雅黑" w:cs="微软雅黑"/>
                <w:b/>
                <w:bCs/>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OnStar安吉星全时在线助理</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-碰撞自动求助</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-被盗车辆定位</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-车况检测系统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-车载4G LTE Wi-Fi</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-安吉星24小时客户服务顾问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eConnect互联技术</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-高德实时导航系统</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-车载APP互联应用</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-OTA远程升级</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-Super ID个人账户</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strike/>
                <w:color w:val="000000"/>
                <w:sz w:val="18"/>
                <w:szCs w:val="18"/>
              </w:rPr>
            </w:pPr>
            <w:r>
              <w:rPr>
                <w:rFonts w:hint="eastAsia" w:ascii="微软雅黑" w:hAnsi="微软雅黑" w:eastAsia="微软雅黑" w:cs="微软雅黑"/>
                <w:i w:val="0"/>
                <w:iCs w:val="0"/>
                <w:strike/>
                <w:dstrike w:val="0"/>
                <w:color w:val="000000"/>
                <w:kern w:val="0"/>
                <w:sz w:val="18"/>
                <w:szCs w:val="18"/>
                <w:u w:val="none"/>
                <w:lang w:val="en-US" w:eastAsia="zh-CN" w:bidi="ar"/>
              </w:rPr>
              <w:t xml:space="preserve"> </w:t>
            </w:r>
            <w:r>
              <w:rPr>
                <w:rFonts w:hint="eastAsia" w:ascii="微软雅黑" w:hAnsi="微软雅黑" w:eastAsia="微软雅黑" w:cs="微软雅黑"/>
                <w:i w:val="0"/>
                <w:iCs w:val="0"/>
                <w:strike/>
                <w:dstrike w:val="0"/>
                <w:color w:val="000000"/>
                <w:kern w:val="0"/>
                <w:sz w:val="18"/>
                <w:szCs w:val="18"/>
                <w:lang w:val="en-US" w:eastAsia="zh-CN" w:bidi="ar"/>
              </w:rPr>
              <w:t xml:space="preserve"> </w:t>
            </w:r>
            <w:r>
              <w:rPr>
                <w:rFonts w:hint="eastAsia" w:ascii="微软雅黑" w:hAnsi="微软雅黑" w:eastAsia="微软雅黑" w:cs="微软雅黑"/>
                <w:i w:val="0"/>
                <w:iCs w:val="0"/>
                <w:strike/>
                <w:dstrike w:val="0"/>
                <w:color w:val="000000"/>
                <w:kern w:val="0"/>
                <w:sz w:val="18"/>
                <w:szCs w:val="18"/>
                <w:u w:val="none"/>
                <w:lang w:val="en-US" w:eastAsia="zh-CN" w:bidi="ar"/>
              </w:rPr>
              <w:t xml:space="preserve"> 智能语音识别</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57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-智能手机映射（支持百度CarLife/Apple Carplay）</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30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iBuick APP手机应用（包括安吉星远程遥控功能）</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8391" w:type="dxa"/>
            <w:gridSpan w:val="2"/>
            <w:tcBorders>
              <w:top w:val="single" w:color="000000" w:sz="4" w:space="0"/>
              <w:left w:val="single" w:color="000000" w:sz="4" w:space="0"/>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外观配置</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全LED自动感应大灯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展翼型LED日间行车灯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展翼型LED尾灯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LED高位刹车灯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飞翼式镀铬进气格栅</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外后视镜电动调节/加热/LED转向灯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外后视镜驾驶侧电子防眩目/电动折叠</w:t>
            </w:r>
          </w:p>
        </w:tc>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外后视镜记忆</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两片式超大全景天窗</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隐藏式后盖开启按钮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鲨鱼鳍综合信号接收天线</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36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全框式车窗镀铬饰条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车身镀铬门把手</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一体化镀铬双排气管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17吋双五辐铝合金轮毂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18吋十辐优雅型铝合金轮毂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8391" w:type="dxa"/>
            <w:gridSpan w:val="2"/>
            <w:tcBorders>
              <w:top w:val="single" w:color="000000" w:sz="4" w:space="0"/>
              <w:left w:val="single" w:color="000000" w:sz="4" w:space="0"/>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内饰配置</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驾驶座椅6向电动调节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驾驶座椅12向电动调节带电动腰托</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驾驶座位置记忆功能</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副驾驶座椅6向电动调节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副驾驶座椅12向电动调节带电动腰托</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老板键（可调节副驾驶位置）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前排座椅加热功能</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前排座椅通风功能</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前排座椅按摩功能</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前排座椅头枕4向调节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2向调节</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后排座椅头枕2向调节</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6：4分割可倒式后排座椅</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全遮光电动遮阳帘</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全LED顶衬照明</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Moon White月光白环绕氛围灯</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四幅多功能方向盘带换挡拨片</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超大中央储物格</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中央扶手下方储物盒</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后排可折叠中央扶手带双杯托</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冷峻黑高级真皮内饰/乌金木纹饰条</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时尚棕打孔麂皮绒面内饰/橡木纹饰条</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安全配置</w:t>
            </w:r>
          </w:p>
        </w:tc>
        <w:tc>
          <w:tcPr>
            <w:tcW w:w="4155" w:type="dxa"/>
            <w:tcBorders>
              <w:top w:val="single" w:color="000000" w:sz="4" w:space="0"/>
              <w:left w:val="nil"/>
              <w:bottom w:val="single" w:color="000000" w:sz="4" w:space="0"/>
              <w:right w:val="nil"/>
            </w:tcBorders>
            <w:shd w:val="clear" w:color="auto" w:fill="A6A6A6"/>
            <w:vAlign w:val="center"/>
          </w:tcPr>
          <w:p>
            <w:pPr>
              <w:jc w:val="left"/>
              <w:rPr>
                <w:rFonts w:hint="eastAsia" w:ascii="微软雅黑" w:hAnsi="微软雅黑" w:eastAsia="微软雅黑" w:cs="微软雅黑"/>
                <w:b/>
                <w:bCs/>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BFI一体化车身结构</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前排双向预紧式安全带</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后排三点式预紧安全带</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主、副驾驶员安全带未系提醒</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后排儿童座椅ISO FIX固定器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驾驶座安全震动提醒</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前排正面安全气囊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前排侧面安全气囊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一体式侧气帘</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ABS防抱死制动系统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EBD电子制动力分配系统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TCS牵引力控制系统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ESC车辆稳定性控制系统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EHHSA增强型坡道辅助系统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TPMS智能胎压监测系统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EPB电子驻车制动系统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行人碰撞主动弹起式引擎盖</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四门自动落锁系统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倒车雷达</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倒车影像</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电子防眩目内后视镜</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流媒体内后视镜</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nil"/>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智能驾驶辅助配置</w:t>
            </w:r>
          </w:p>
        </w:tc>
        <w:tc>
          <w:tcPr>
            <w:tcW w:w="4155" w:type="dxa"/>
            <w:tcBorders>
              <w:top w:val="single" w:color="000000" w:sz="4" w:space="0"/>
              <w:left w:val="nil"/>
              <w:bottom w:val="single" w:color="000000" w:sz="4" w:space="0"/>
              <w:right w:val="nil"/>
            </w:tcBorders>
            <w:shd w:val="clear" w:color="auto" w:fill="A6A6A6"/>
            <w:vAlign w:val="center"/>
          </w:tcPr>
          <w:p>
            <w:pPr>
              <w:jc w:val="left"/>
              <w:rPr>
                <w:rFonts w:hint="eastAsia" w:ascii="微软雅黑" w:hAnsi="微软雅黑" w:eastAsia="微软雅黑" w:cs="微软雅黑"/>
                <w:b/>
                <w:bCs/>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SBZA侧盲区预警系统</w:t>
            </w:r>
          </w:p>
        </w:tc>
        <w:tc>
          <w:tcPr>
            <w:tcW w:w="4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LCA车道变更辅助系统</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RCTA泊车预警系统</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APA自动泊车系统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ACC自适应巡航系统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LKA车道保持系统</w:t>
            </w:r>
          </w:p>
        </w:tc>
        <w:tc>
          <w:tcPr>
            <w:tcW w:w="4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LDW车道偏离预警</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FDI前车距离提示</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FCA前方碰撞预警</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CMB碰撞缓解系统</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PD行人识别/保护</w:t>
            </w:r>
          </w:p>
        </w:tc>
        <w:tc>
          <w:tcPr>
            <w:tcW w:w="4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HBA智能远近光灯控制</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nil"/>
            </w:tcBorders>
            <w:shd w:val="clear" w:color="auto" w:fill="A6A6A6"/>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舒适配置</w:t>
            </w:r>
          </w:p>
        </w:tc>
        <w:tc>
          <w:tcPr>
            <w:tcW w:w="4155" w:type="dxa"/>
            <w:tcBorders>
              <w:top w:val="single" w:color="000000" w:sz="4" w:space="0"/>
              <w:left w:val="nil"/>
              <w:bottom w:val="single" w:color="000000" w:sz="4" w:space="0"/>
              <w:right w:val="nil"/>
            </w:tcBorders>
            <w:shd w:val="clear" w:color="auto" w:fill="A6A6A6"/>
            <w:vAlign w:val="center"/>
          </w:tcPr>
          <w:p>
            <w:pPr>
              <w:jc w:val="left"/>
              <w:rPr>
                <w:rFonts w:hint="eastAsia" w:ascii="微软雅黑" w:hAnsi="微软雅黑" w:eastAsia="微软雅黑" w:cs="微软雅黑"/>
                <w:b/>
                <w:bCs/>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ETRS电子排档</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ANC主动降噪科技</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定速巡航</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无钥匙进入及一键启动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中控门锁及遥控钥匙</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发动机远程启动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大灯伴你回家功能</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后挡风玻璃热线式除雾功能</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四门一键式自动升降车窗</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前排</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双区独立全自动空调系统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后排空调出风口</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374"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纳米级防PM2.5空调滤芯</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DengXian" w:hAnsi="DengXian" w:eastAsia="DengXian" w:cs="DengXian"/>
                <w:i w:val="0"/>
                <w:iCs w:val="0"/>
                <w:color w:val="000000"/>
                <w:sz w:val="20"/>
                <w:szCs w:val="20"/>
                <w:u w:val="none"/>
              </w:rPr>
            </w:pPr>
            <w:r>
              <w:rPr>
                <w:rFonts w:hint="default" w:ascii="DengXian" w:hAnsi="DengXian" w:eastAsia="DengXian" w:cs="DengXian"/>
                <w:i w:val="0"/>
                <w:iCs w:val="0"/>
                <w:color w:val="000000"/>
                <w:kern w:val="0"/>
                <w:sz w:val="20"/>
                <w:szCs w:val="20"/>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AQS空气质量控制系统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车内负离子空气净化系统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无边纯平8吋高清触摸屏</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4.2英寸高清行车电脑</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8英寸高清行车电脑</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HUD平视显示系统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AUX IN/USB智能多路音源输入系统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AVL随速音量调节系统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Bose Centerpoint®环绕音响系统带11扬声器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高保真车载音响系统带8扬声器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间歇式无骨雨刷</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雨量感应式无骨雨刷</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驾驶员便捷出入功能</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28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后排双USB充电接口</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w:t>
            </w:r>
          </w:p>
        </w:tc>
      </w:tr>
      <w:tr>
        <w:tblPrEx>
          <w:tblCellMar>
            <w:top w:w="0" w:type="dxa"/>
            <w:left w:w="108" w:type="dxa"/>
            <w:bottom w:w="0" w:type="dxa"/>
            <w:right w:w="108" w:type="dxa"/>
          </w:tblCellMar>
        </w:tblPrEx>
        <w:trPr>
          <w:trHeight w:val="255"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后备箱电动启合功能</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CellMar>
            <w:top w:w="0" w:type="dxa"/>
            <w:left w:w="108" w:type="dxa"/>
            <w:bottom w:w="0" w:type="dxa"/>
            <w:right w:w="108" w:type="dxa"/>
          </w:tblCellMar>
        </w:tblPrEx>
        <w:trPr>
          <w:trHeight w:val="330" w:hRule="atLeast"/>
        </w:trPr>
        <w:tc>
          <w:tcPr>
            <w:tcW w:w="4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车色</w:t>
            </w:r>
          </w:p>
        </w:tc>
        <w:tc>
          <w:tcPr>
            <w:tcW w:w="4155" w:type="dxa"/>
            <w:tcBorders>
              <w:top w:val="single" w:color="000000" w:sz="4" w:space="0"/>
              <w:left w:val="single" w:color="000000" w:sz="4" w:space="0"/>
              <w:bottom w:val="single" w:color="000000" w:sz="4" w:space="0"/>
              <w:right w:val="nil"/>
            </w:tcBorders>
            <w:shd w:val="clear" w:color="auto" w:fill="FFFFFF"/>
            <w:noWrap/>
            <w:vAlign w:val="bottom"/>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墨玉黑、黯影灰、御瓷青</w:t>
            </w:r>
          </w:p>
        </w:tc>
      </w:tr>
    </w:tbl>
    <w:p>
      <w:pPr>
        <w:rPr>
          <w:rFonts w:hint="eastAsia"/>
          <w:lang w:val="en-US" w:eastAsia="zh-CN"/>
        </w:rPr>
      </w:pPr>
    </w:p>
    <w:p>
      <w:pPr>
        <w:rPr>
          <w:rFonts w:hint="eastAsia"/>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2、3台商务车</w:t>
      </w:r>
    </w:p>
    <w:tbl>
      <w:tblPr>
        <w:tblStyle w:val="12"/>
        <w:tblpPr w:leftFromText="180" w:rightFromText="180" w:vertAnchor="text" w:horzAnchor="page" w:tblpX="1772"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名称</w:t>
            </w:r>
          </w:p>
        </w:tc>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别克 GL8 ES 陆尊653T 尊享版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颜色</w:t>
            </w:r>
          </w:p>
        </w:tc>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香槟金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长×宽×高[mm]</w:t>
            </w:r>
          </w:p>
        </w:tc>
        <w:tc>
          <w:tcPr>
            <w:tcW w:w="4261" w:type="dxa"/>
            <w:noWrap w:val="0"/>
            <w:vAlign w:val="center"/>
          </w:tcPr>
          <w:p>
            <w:pPr>
              <w:jc w:val="both"/>
              <w:rPr>
                <w:rFonts w:hint="default" w:ascii="宋体" w:hAnsi="宋体" w:eastAsia="宋体" w:cs="宋体"/>
                <w:b w:val="0"/>
                <w:bCs/>
                <w:sz w:val="18"/>
                <w:szCs w:val="18"/>
                <w:lang w:val="en-US" w:eastAsia="zh-CN"/>
              </w:rPr>
            </w:pPr>
            <w:r>
              <w:rPr>
                <w:rFonts w:ascii="宋体" w:hAnsi="宋体" w:eastAsia="宋体" w:cs="宋体"/>
                <w:b w:val="0"/>
                <w:bCs/>
                <w:sz w:val="18"/>
                <w:szCs w:val="18"/>
              </w:rPr>
              <w:t>52</w:t>
            </w:r>
            <w:r>
              <w:rPr>
                <w:rFonts w:hint="eastAsia" w:ascii="宋体" w:hAnsi="宋体" w:cs="宋体"/>
                <w:b w:val="0"/>
                <w:bCs/>
                <w:sz w:val="18"/>
                <w:szCs w:val="18"/>
                <w:lang w:val="en-US" w:eastAsia="zh-CN"/>
              </w:rPr>
              <w:t>19</w:t>
            </w:r>
            <w:r>
              <w:rPr>
                <w:rFonts w:ascii="宋体" w:hAnsi="宋体" w:eastAsia="宋体" w:cs="宋体"/>
                <w:b w:val="0"/>
                <w:bCs/>
                <w:sz w:val="18"/>
                <w:szCs w:val="18"/>
              </w:rPr>
              <w:t>x1878x1</w:t>
            </w:r>
            <w:r>
              <w:rPr>
                <w:rFonts w:hint="eastAsia" w:ascii="宋体" w:hAnsi="宋体" w:cs="宋体"/>
                <w:b w:val="0"/>
                <w:bCs/>
                <w:sz w:val="18"/>
                <w:szCs w:val="18"/>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轴距[mm]</w:t>
            </w:r>
          </w:p>
        </w:tc>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座位数[个]</w:t>
            </w:r>
          </w:p>
        </w:tc>
        <w:tc>
          <w:tcPr>
            <w:tcW w:w="4261" w:type="dxa"/>
            <w:noWrap w:val="0"/>
            <w:vAlign w:val="center"/>
          </w:tcPr>
          <w:p>
            <w:pPr>
              <w:jc w:val="both"/>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fldChar w:fldCharType="begin"/>
            </w:r>
            <w:r>
              <w:rPr>
                <w:rFonts w:ascii="宋体" w:hAnsi="宋体" w:eastAsia="宋体" w:cs="宋体"/>
                <w:b w:val="0"/>
                <w:bCs/>
                <w:sz w:val="18"/>
                <w:szCs w:val="18"/>
              </w:rPr>
              <w:instrText xml:space="preserve"> HYPERLINK "http://baike.bitauto.com/other/20120629/1405745271.html" \t "http://car.bitauto.com/biekegl8/peizhi/_blank" </w:instrText>
            </w:r>
            <w:r>
              <w:rPr>
                <w:rFonts w:ascii="宋体" w:hAnsi="宋体" w:eastAsia="宋体" w:cs="宋体"/>
                <w:b w:val="0"/>
                <w:bCs/>
                <w:sz w:val="18"/>
                <w:szCs w:val="18"/>
              </w:rPr>
              <w:fldChar w:fldCharType="separate"/>
            </w:r>
            <w:r>
              <w:rPr>
                <w:rFonts w:ascii="宋体" w:hAnsi="宋体" w:eastAsia="宋体" w:cs="宋体"/>
                <w:b w:val="0"/>
                <w:bCs/>
                <w:sz w:val="18"/>
                <w:szCs w:val="18"/>
              </w:rPr>
              <w:t>排量(mL)</w:t>
            </w:r>
            <w:r>
              <w:rPr>
                <w:rFonts w:ascii="宋体" w:hAnsi="宋体" w:eastAsia="宋体" w:cs="宋体"/>
                <w:b w:val="0"/>
                <w:bCs/>
                <w:sz w:val="18"/>
                <w:szCs w:val="18"/>
              </w:rPr>
              <w:fldChar w:fldCharType="end"/>
            </w:r>
          </w:p>
        </w:tc>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最大额定功率（Kw/rpm）</w:t>
            </w:r>
          </w:p>
        </w:tc>
        <w:tc>
          <w:tcPr>
            <w:tcW w:w="4261" w:type="dxa"/>
            <w:noWrap w:val="0"/>
            <w:vAlign w:val="center"/>
          </w:tcPr>
          <w:p>
            <w:pPr>
              <w:jc w:val="both"/>
              <w:rPr>
                <w:rFonts w:hint="default" w:ascii="宋体" w:hAnsi="宋体" w:eastAsia="宋体" w:cs="宋体"/>
                <w:b w:val="0"/>
                <w:bCs/>
                <w:sz w:val="18"/>
                <w:szCs w:val="18"/>
                <w:lang w:val="en-US" w:eastAsia="zh-CN"/>
              </w:rPr>
            </w:pPr>
            <w:r>
              <w:rPr>
                <w:rFonts w:ascii="宋体" w:hAnsi="宋体" w:eastAsia="宋体" w:cs="宋体"/>
                <w:b w:val="0"/>
                <w:bCs/>
                <w:sz w:val="18"/>
                <w:szCs w:val="18"/>
              </w:rPr>
              <w:t>174</w:t>
            </w:r>
            <w:r>
              <w:rPr>
                <w:rFonts w:hint="eastAsia" w:ascii="宋体" w:hAnsi="宋体" w:cs="宋体"/>
                <w:b w:val="0"/>
                <w:bCs/>
                <w:sz w:val="18"/>
                <w:szCs w:val="1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val="en-US" w:eastAsia="zh-CN"/>
              </w:rPr>
            </w:pPr>
            <w:r>
              <w:rPr>
                <w:rFonts w:ascii="宋体" w:hAnsi="宋体" w:eastAsia="宋体" w:cs="宋体"/>
                <w:b w:val="0"/>
                <w:bCs/>
                <w:sz w:val="18"/>
                <w:szCs w:val="18"/>
              </w:rPr>
              <w:t>最大扭矩[N.m</w:t>
            </w:r>
            <w:r>
              <w:rPr>
                <w:rFonts w:hint="eastAsia" w:ascii="宋体" w:hAnsi="宋体" w:cs="宋体"/>
                <w:b w:val="0"/>
                <w:bCs/>
                <w:sz w:val="18"/>
                <w:szCs w:val="18"/>
                <w:lang w:val="en-US" w:eastAsia="zh-CN"/>
              </w:rPr>
              <w:t>/rpm</w:t>
            </w:r>
            <w:r>
              <w:rPr>
                <w:rFonts w:ascii="宋体" w:hAnsi="宋体" w:eastAsia="宋体" w:cs="宋体"/>
                <w:b w:val="0"/>
                <w:bCs/>
                <w:sz w:val="18"/>
                <w:szCs w:val="18"/>
              </w:rPr>
              <w:t>]</w:t>
            </w:r>
          </w:p>
        </w:tc>
        <w:tc>
          <w:tcPr>
            <w:tcW w:w="4261" w:type="dxa"/>
            <w:noWrap w:val="0"/>
            <w:vAlign w:val="center"/>
          </w:tcPr>
          <w:p>
            <w:pPr>
              <w:jc w:val="both"/>
              <w:rPr>
                <w:rFonts w:hint="default" w:ascii="宋体" w:hAnsi="宋体" w:eastAsia="宋体" w:cs="宋体"/>
                <w:b w:val="0"/>
                <w:bCs/>
                <w:sz w:val="18"/>
                <w:szCs w:val="18"/>
                <w:lang w:val="en-US" w:eastAsia="zh-CN"/>
              </w:rPr>
            </w:pPr>
            <w:r>
              <w:rPr>
                <w:rFonts w:ascii="宋体" w:hAnsi="宋体" w:eastAsia="宋体" w:cs="宋体"/>
                <w:b w:val="0"/>
                <w:bCs/>
                <w:sz w:val="18"/>
                <w:szCs w:val="18"/>
              </w:rPr>
              <w:t>350</w:t>
            </w:r>
            <w:r>
              <w:rPr>
                <w:rFonts w:hint="eastAsia" w:ascii="宋体" w:hAnsi="宋体" w:cs="宋体"/>
                <w:b w:val="0"/>
                <w:bCs/>
                <w:sz w:val="18"/>
                <w:szCs w:val="18"/>
                <w:lang w:val="en-US" w:eastAsia="zh-CN"/>
              </w:rPr>
              <w:t>/1500〜4000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ascii="宋体" w:hAnsi="宋体" w:eastAsia="宋体" w:cs="宋体"/>
                <w:b w:val="0"/>
                <w:bCs/>
                <w:sz w:val="18"/>
                <w:szCs w:val="18"/>
              </w:rPr>
            </w:pPr>
            <w:r>
              <w:rPr>
                <w:rFonts w:ascii="宋体" w:hAnsi="宋体" w:eastAsia="宋体" w:cs="宋体"/>
                <w:b w:val="0"/>
                <w:bCs/>
                <w:sz w:val="18"/>
                <w:szCs w:val="18"/>
              </w:rPr>
              <w:fldChar w:fldCharType="begin"/>
            </w:r>
            <w:r>
              <w:rPr>
                <w:rFonts w:ascii="宋体" w:hAnsi="宋体" w:eastAsia="宋体" w:cs="宋体"/>
                <w:b w:val="0"/>
                <w:bCs/>
                <w:sz w:val="18"/>
                <w:szCs w:val="18"/>
              </w:rPr>
              <w:instrText xml:space="preserve"> HYPERLINK "http://baike.bitauto.com/basictechparam/20120824/1405815088.html" \t "http://car.bitauto.com/biekegl8/peizhi/_blank" </w:instrText>
            </w:r>
            <w:r>
              <w:rPr>
                <w:rFonts w:ascii="宋体" w:hAnsi="宋体" w:eastAsia="宋体" w:cs="宋体"/>
                <w:b w:val="0"/>
                <w:bCs/>
                <w:sz w:val="18"/>
                <w:szCs w:val="18"/>
              </w:rPr>
              <w:fldChar w:fldCharType="separate"/>
            </w:r>
            <w:r>
              <w:rPr>
                <w:rFonts w:ascii="宋体" w:hAnsi="宋体" w:eastAsia="宋体" w:cs="宋体"/>
                <w:b w:val="0"/>
                <w:bCs/>
                <w:sz w:val="18"/>
                <w:szCs w:val="18"/>
              </w:rPr>
              <w:t>变速箱类型</w:t>
            </w:r>
            <w:r>
              <w:rPr>
                <w:rFonts w:ascii="宋体" w:hAnsi="宋体" w:eastAsia="宋体" w:cs="宋体"/>
                <w:b w:val="0"/>
                <w:bCs/>
                <w:sz w:val="18"/>
                <w:szCs w:val="18"/>
              </w:rPr>
              <w:fldChar w:fldCharType="end"/>
            </w:r>
          </w:p>
        </w:tc>
        <w:tc>
          <w:tcPr>
            <w:tcW w:w="4261" w:type="dxa"/>
            <w:noWrap w:val="0"/>
            <w:vAlign w:val="center"/>
          </w:tcPr>
          <w:p>
            <w:pPr>
              <w:jc w:val="both"/>
              <w:rPr>
                <w:rFonts w:ascii="宋体" w:hAnsi="宋体" w:eastAsia="宋体" w:cs="宋体"/>
                <w:b w:val="0"/>
                <w:bCs/>
                <w:sz w:val="18"/>
                <w:szCs w:val="18"/>
              </w:rPr>
            </w:pPr>
            <w:r>
              <w:rPr>
                <w:rFonts w:hint="eastAsia" w:ascii="宋体" w:hAnsi="宋体" w:eastAsia="宋体" w:cs="宋体"/>
                <w:b w:val="0"/>
                <w:bCs/>
                <w:sz w:val="18"/>
                <w:szCs w:val="18"/>
                <w:lang w:val="en-US" w:eastAsia="zh-CN"/>
              </w:rPr>
              <w:t>9挡</w:t>
            </w:r>
            <w:r>
              <w:rPr>
                <w:rFonts w:ascii="宋体" w:hAnsi="宋体" w:eastAsia="宋体" w:cs="宋体"/>
                <w:b w:val="0"/>
                <w:bCs/>
                <w:sz w:val="18"/>
                <w:szCs w:val="18"/>
              </w:rPr>
              <w: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cs="宋体"/>
                <w:b w:val="0"/>
                <w:bCs/>
                <w:sz w:val="18"/>
                <w:szCs w:val="18"/>
                <w:lang w:eastAsia="zh-CN"/>
              </w:rPr>
              <w:t>电子排挡</w:t>
            </w:r>
          </w:p>
        </w:tc>
        <w:tc>
          <w:tcPr>
            <w:tcW w:w="4261" w:type="dxa"/>
            <w:noWrap w:val="0"/>
            <w:vAlign w:val="center"/>
          </w:tcPr>
          <w:p>
            <w:pPr>
              <w:jc w:val="both"/>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cs="宋体"/>
                <w:b w:val="0"/>
                <w:bCs/>
                <w:sz w:val="18"/>
                <w:szCs w:val="18"/>
                <w:lang w:eastAsia="zh-CN"/>
              </w:rPr>
              <w:t>自动空调</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双12.3寸仪表及中控联屏</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中央储物箱</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多功能方向盘</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一键启动</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底盘悬架（前/后）</w:t>
            </w:r>
          </w:p>
        </w:tc>
        <w:tc>
          <w:tcPr>
            <w:tcW w:w="4261" w:type="dxa"/>
            <w:noWrap w:val="0"/>
            <w:vAlign w:val="center"/>
          </w:tcPr>
          <w:p>
            <w:pPr>
              <w:jc w:val="both"/>
              <w:rPr>
                <w:rFonts w:hint="default" w:ascii="宋体" w:hAnsi="宋体" w:eastAsia="宋体" w:cs="宋体"/>
                <w:b w:val="0"/>
                <w:bCs/>
                <w:sz w:val="18"/>
                <w:szCs w:val="18"/>
                <w:lang w:val="en-US" w:eastAsia="zh-CN"/>
              </w:rPr>
            </w:pPr>
            <w:r>
              <w:rPr>
                <w:rFonts w:hint="eastAsia" w:ascii="宋体" w:hAnsi="宋体" w:cs="宋体"/>
                <w:b w:val="0"/>
                <w:bCs/>
                <w:sz w:val="18"/>
                <w:szCs w:val="18"/>
                <w:lang w:eastAsia="zh-CN"/>
              </w:rPr>
              <w:t>增强型麦弗逊悬挂</w:t>
            </w:r>
            <w:r>
              <w:rPr>
                <w:rFonts w:hint="eastAsia" w:ascii="宋体" w:hAnsi="宋体" w:cs="宋体"/>
                <w:b w:val="0"/>
                <w:bCs/>
                <w:sz w:val="18"/>
                <w:szCs w:val="18"/>
                <w:lang w:val="en-US" w:eastAsia="zh-CN"/>
              </w:rPr>
              <w:t>/多连杆独立悬挂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双侧电动门</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大漠米皮质座椅</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前后驻车雷达</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高清泊车影像</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ACC自适应巡航</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侧盲区预警系统</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碰撞缓解系统</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18"/>
                <w:szCs w:val="18"/>
                <w:lang w:val="en-US" w:eastAsia="zh-CN"/>
              </w:rPr>
            </w:pPr>
            <w:r>
              <w:rPr>
                <w:rFonts w:hint="eastAsia" w:ascii="宋体" w:hAnsi="宋体" w:cs="宋体"/>
                <w:b w:val="0"/>
                <w:bCs/>
                <w:sz w:val="18"/>
                <w:szCs w:val="18"/>
                <w:lang w:val="en-US" w:eastAsia="zh-CN"/>
              </w:rPr>
              <w:t>17寸铝合金轮毂</w:t>
            </w:r>
          </w:p>
        </w:tc>
        <w:tc>
          <w:tcPr>
            <w:tcW w:w="4261" w:type="dxa"/>
            <w:noWrap w:val="0"/>
            <w:vAlign w:val="center"/>
          </w:tcPr>
          <w:p>
            <w:pPr>
              <w:jc w:val="both"/>
              <w:rPr>
                <w:rFonts w:hint="eastAsia" w:ascii="宋体" w:hAnsi="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涡轮增压</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发动机电子防盗</w:t>
            </w:r>
          </w:p>
        </w:tc>
        <w:tc>
          <w:tcPr>
            <w:tcW w:w="4261" w:type="dxa"/>
            <w:noWrap w:val="0"/>
            <w:vAlign w:val="center"/>
          </w:tcPr>
          <w:p>
            <w:pPr>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有</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20"/>
        <w:gridCol w:w="2685"/>
        <w:gridCol w:w="960"/>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685"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轿 车</w:t>
            </w:r>
          </w:p>
        </w:tc>
        <w:tc>
          <w:tcPr>
            <w:tcW w:w="2685"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别克君越552T豪华型</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商务车</w:t>
            </w:r>
          </w:p>
        </w:tc>
        <w:tc>
          <w:tcPr>
            <w:tcW w:w="2685"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ES陆尊653T尊享型</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香槟金</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2530_WPSOffice_Level1"/>
      <w:bookmarkStart w:id="138" w:name="_Toc18668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81"/>
        <w:gridCol w:w="1995"/>
        <w:gridCol w:w="735"/>
        <w:gridCol w:w="1005"/>
        <w:gridCol w:w="1575"/>
        <w:gridCol w:w="120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81" w:type="dxa"/>
            <w:noWrap w:val="0"/>
            <w:vAlign w:val="center"/>
          </w:tcPr>
          <w:p>
            <w:pPr>
              <w:ind w:firstLine="0" w:firstLineChars="0"/>
              <w:jc w:val="center"/>
              <w:rPr>
                <w:sz w:val="30"/>
                <w:szCs w:val="30"/>
              </w:rPr>
            </w:pPr>
            <w:r>
              <w:rPr>
                <w:rFonts w:hint="eastAsia"/>
                <w:sz w:val="30"/>
                <w:szCs w:val="30"/>
              </w:rPr>
              <w:t>名称</w:t>
            </w:r>
          </w:p>
        </w:tc>
        <w:tc>
          <w:tcPr>
            <w:tcW w:w="1995" w:type="dxa"/>
            <w:noWrap w:val="0"/>
            <w:vAlign w:val="center"/>
          </w:tcPr>
          <w:p>
            <w:pPr>
              <w:ind w:firstLine="0" w:firstLineChars="0"/>
              <w:jc w:val="center"/>
              <w:rPr>
                <w:sz w:val="30"/>
                <w:szCs w:val="30"/>
              </w:rPr>
            </w:pPr>
            <w:r>
              <w:rPr>
                <w:rFonts w:hint="eastAsia"/>
                <w:sz w:val="30"/>
                <w:szCs w:val="30"/>
              </w:rPr>
              <w:t>品牌型号</w:t>
            </w:r>
          </w:p>
        </w:tc>
        <w:tc>
          <w:tcPr>
            <w:tcW w:w="735" w:type="dxa"/>
            <w:noWrap w:val="0"/>
            <w:vAlign w:val="center"/>
          </w:tcPr>
          <w:p>
            <w:pPr>
              <w:ind w:firstLine="0" w:firstLineChars="0"/>
              <w:jc w:val="center"/>
              <w:rPr>
                <w:sz w:val="30"/>
                <w:szCs w:val="30"/>
              </w:rPr>
            </w:pPr>
            <w:r>
              <w:rPr>
                <w:rFonts w:hint="eastAsia"/>
                <w:sz w:val="30"/>
                <w:szCs w:val="30"/>
              </w:rPr>
              <w:t>单位</w:t>
            </w:r>
          </w:p>
        </w:tc>
        <w:tc>
          <w:tcPr>
            <w:tcW w:w="1005" w:type="dxa"/>
            <w:noWrap w:val="0"/>
            <w:vAlign w:val="center"/>
          </w:tcPr>
          <w:p>
            <w:pPr>
              <w:ind w:firstLine="0" w:firstLineChars="0"/>
              <w:jc w:val="center"/>
              <w:rPr>
                <w:sz w:val="30"/>
                <w:szCs w:val="30"/>
              </w:rPr>
            </w:pPr>
            <w:r>
              <w:rPr>
                <w:rFonts w:hint="eastAsia"/>
                <w:sz w:val="30"/>
                <w:szCs w:val="30"/>
              </w:rPr>
              <w:t>数量</w:t>
            </w:r>
          </w:p>
        </w:tc>
        <w:tc>
          <w:tcPr>
            <w:tcW w:w="1575"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销售差价</w:t>
            </w:r>
          </w:p>
        </w:tc>
        <w:tc>
          <w:tcPr>
            <w:tcW w:w="1200"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p>
        </w:tc>
        <w:tc>
          <w:tcPr>
            <w:tcW w:w="2492"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总</w:t>
            </w:r>
            <w:r>
              <w:rPr>
                <w:rFonts w:hint="eastAsia"/>
                <w:sz w:val="30"/>
                <w:szCs w:val="30"/>
              </w:rPr>
              <w:t>计</w:t>
            </w:r>
            <w:r>
              <w:rPr>
                <w:rFonts w:hint="eastAsia"/>
                <w:sz w:val="30"/>
                <w:szCs w:val="30"/>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81"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995" w:type="dxa"/>
            <w:noWrap w:val="0"/>
            <w:vAlign w:val="center"/>
          </w:tcPr>
          <w:p>
            <w:pPr>
              <w:spacing w:before="100" w:beforeAutospacing="1" w:after="100" w:afterAutospacing="1" w:line="360" w:lineRule="auto"/>
              <w:jc w:val="center"/>
              <w:rPr>
                <w:sz w:val="28"/>
                <w:szCs w:val="28"/>
              </w:rPr>
            </w:pPr>
          </w:p>
        </w:tc>
        <w:tc>
          <w:tcPr>
            <w:tcW w:w="735" w:type="dxa"/>
            <w:noWrap w:val="0"/>
            <w:vAlign w:val="center"/>
          </w:tcPr>
          <w:p>
            <w:pPr>
              <w:ind w:firstLine="0" w:firstLineChars="0"/>
              <w:jc w:val="center"/>
              <w:rPr>
                <w:sz w:val="30"/>
                <w:szCs w:val="30"/>
              </w:rPr>
            </w:pPr>
          </w:p>
        </w:tc>
        <w:tc>
          <w:tcPr>
            <w:tcW w:w="1005" w:type="dxa"/>
            <w:noWrap w:val="0"/>
            <w:vAlign w:val="center"/>
          </w:tcPr>
          <w:p>
            <w:pPr>
              <w:ind w:firstLine="0" w:firstLineChars="0"/>
              <w:jc w:val="center"/>
              <w:rPr>
                <w:rFonts w:hint="eastAsia" w:eastAsiaTheme="minorEastAsia"/>
                <w:sz w:val="30"/>
                <w:szCs w:val="30"/>
                <w:lang w:eastAsia="zh-CN"/>
              </w:rPr>
            </w:pPr>
          </w:p>
        </w:tc>
        <w:tc>
          <w:tcPr>
            <w:tcW w:w="1575" w:type="dxa"/>
            <w:noWrap w:val="0"/>
            <w:vAlign w:val="center"/>
          </w:tcPr>
          <w:p>
            <w:pPr>
              <w:ind w:firstLine="0" w:firstLineChars="0"/>
              <w:jc w:val="center"/>
              <w:rPr>
                <w:sz w:val="30"/>
                <w:szCs w:val="30"/>
              </w:rPr>
            </w:pPr>
          </w:p>
        </w:tc>
        <w:tc>
          <w:tcPr>
            <w:tcW w:w="120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96"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6510" w:type="dxa"/>
            <w:gridSpan w:val="5"/>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5"/>
        </w:numPr>
        <w:jc w:val="center"/>
        <w:rPr>
          <w:rFonts w:hint="eastAsia"/>
          <w:b/>
          <w:bCs/>
          <w:sz w:val="28"/>
          <w:szCs w:val="28"/>
          <w:lang w:eastAsia="zh-CN"/>
        </w:rPr>
      </w:pPr>
      <w:r>
        <w:rPr>
          <w:rFonts w:hint="eastAsia"/>
          <w:b/>
          <w:bCs/>
          <w:sz w:val="28"/>
          <w:szCs w:val="28"/>
          <w:lang w:eastAsia="zh-CN"/>
        </w:rPr>
        <w:t>技术性能（质量）指标标书</w:t>
      </w: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ilvl w:val="0"/>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A892EE0"/>
    <w:multiLevelType w:val="singleLevel"/>
    <w:tmpl w:val="1A892EE0"/>
    <w:lvl w:ilvl="0" w:tentative="0">
      <w:start w:val="7"/>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4946D1"/>
    <w:rsid w:val="0250686A"/>
    <w:rsid w:val="028275B1"/>
    <w:rsid w:val="02B7452C"/>
    <w:rsid w:val="02D65DED"/>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435747"/>
    <w:rsid w:val="057D77E1"/>
    <w:rsid w:val="05AE7642"/>
    <w:rsid w:val="05B33779"/>
    <w:rsid w:val="05CB4EDA"/>
    <w:rsid w:val="06233674"/>
    <w:rsid w:val="064F44F5"/>
    <w:rsid w:val="06750697"/>
    <w:rsid w:val="07084811"/>
    <w:rsid w:val="076F25A8"/>
    <w:rsid w:val="078261C9"/>
    <w:rsid w:val="07A10C59"/>
    <w:rsid w:val="07E23ADF"/>
    <w:rsid w:val="08315767"/>
    <w:rsid w:val="086348CE"/>
    <w:rsid w:val="087D63B5"/>
    <w:rsid w:val="087E3A40"/>
    <w:rsid w:val="08AC6280"/>
    <w:rsid w:val="08D840D9"/>
    <w:rsid w:val="090B1608"/>
    <w:rsid w:val="091201C8"/>
    <w:rsid w:val="092D5CEC"/>
    <w:rsid w:val="09501EDA"/>
    <w:rsid w:val="0973495D"/>
    <w:rsid w:val="09A07033"/>
    <w:rsid w:val="09A35E85"/>
    <w:rsid w:val="09EE28E7"/>
    <w:rsid w:val="09FB5804"/>
    <w:rsid w:val="0A132DA4"/>
    <w:rsid w:val="0A223565"/>
    <w:rsid w:val="0A3641B0"/>
    <w:rsid w:val="0A3769B7"/>
    <w:rsid w:val="0A405B0B"/>
    <w:rsid w:val="0A6564B9"/>
    <w:rsid w:val="0A691D01"/>
    <w:rsid w:val="0AA52BD3"/>
    <w:rsid w:val="0AD4402F"/>
    <w:rsid w:val="0AEB315F"/>
    <w:rsid w:val="0B80123A"/>
    <w:rsid w:val="0B8C0B40"/>
    <w:rsid w:val="0BE53DBD"/>
    <w:rsid w:val="0BE74120"/>
    <w:rsid w:val="0BED5FBE"/>
    <w:rsid w:val="0C0263B2"/>
    <w:rsid w:val="0C210E8A"/>
    <w:rsid w:val="0C2D25CC"/>
    <w:rsid w:val="0C3A6DCE"/>
    <w:rsid w:val="0C471C14"/>
    <w:rsid w:val="0C735228"/>
    <w:rsid w:val="0C760F13"/>
    <w:rsid w:val="0C932008"/>
    <w:rsid w:val="0C954935"/>
    <w:rsid w:val="0CA64EC2"/>
    <w:rsid w:val="0CEE2538"/>
    <w:rsid w:val="0CFA2113"/>
    <w:rsid w:val="0D421699"/>
    <w:rsid w:val="0D491784"/>
    <w:rsid w:val="0D741935"/>
    <w:rsid w:val="0D991923"/>
    <w:rsid w:val="0DE55C13"/>
    <w:rsid w:val="0E353D12"/>
    <w:rsid w:val="0E3945CC"/>
    <w:rsid w:val="0E3C6E1E"/>
    <w:rsid w:val="0EA438D6"/>
    <w:rsid w:val="0EAA59ED"/>
    <w:rsid w:val="0EC101C2"/>
    <w:rsid w:val="0EC70BFA"/>
    <w:rsid w:val="0EF55437"/>
    <w:rsid w:val="0F09600A"/>
    <w:rsid w:val="0F56600C"/>
    <w:rsid w:val="0F6D4FC2"/>
    <w:rsid w:val="0FDE4E7E"/>
    <w:rsid w:val="10047D3E"/>
    <w:rsid w:val="1015385D"/>
    <w:rsid w:val="1055158F"/>
    <w:rsid w:val="107348E1"/>
    <w:rsid w:val="107629EF"/>
    <w:rsid w:val="107B36EC"/>
    <w:rsid w:val="10B52E88"/>
    <w:rsid w:val="10B57A2C"/>
    <w:rsid w:val="10C56148"/>
    <w:rsid w:val="10D60168"/>
    <w:rsid w:val="11076A24"/>
    <w:rsid w:val="11215B9D"/>
    <w:rsid w:val="11231D90"/>
    <w:rsid w:val="112B09BB"/>
    <w:rsid w:val="11463CD0"/>
    <w:rsid w:val="119B7A2E"/>
    <w:rsid w:val="119D73DC"/>
    <w:rsid w:val="119E13B5"/>
    <w:rsid w:val="11B93700"/>
    <w:rsid w:val="11CD0AF7"/>
    <w:rsid w:val="11F4632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B7430D"/>
    <w:rsid w:val="13DE75EE"/>
    <w:rsid w:val="13E913A1"/>
    <w:rsid w:val="13EB2E20"/>
    <w:rsid w:val="13EE17CA"/>
    <w:rsid w:val="13F727DE"/>
    <w:rsid w:val="143E047A"/>
    <w:rsid w:val="146A70C1"/>
    <w:rsid w:val="146C639C"/>
    <w:rsid w:val="1498179F"/>
    <w:rsid w:val="149D0A07"/>
    <w:rsid w:val="14A56643"/>
    <w:rsid w:val="14B05D2F"/>
    <w:rsid w:val="14BA42FD"/>
    <w:rsid w:val="14F50F73"/>
    <w:rsid w:val="150A1554"/>
    <w:rsid w:val="15107F20"/>
    <w:rsid w:val="152C615E"/>
    <w:rsid w:val="153122C9"/>
    <w:rsid w:val="154F540A"/>
    <w:rsid w:val="156752D2"/>
    <w:rsid w:val="15C36A4E"/>
    <w:rsid w:val="15F55102"/>
    <w:rsid w:val="16057AB2"/>
    <w:rsid w:val="16576E90"/>
    <w:rsid w:val="16664275"/>
    <w:rsid w:val="169858FB"/>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965DF9"/>
    <w:rsid w:val="18BF79A2"/>
    <w:rsid w:val="1943613C"/>
    <w:rsid w:val="196369C8"/>
    <w:rsid w:val="19913832"/>
    <w:rsid w:val="199C3B12"/>
    <w:rsid w:val="199F4D38"/>
    <w:rsid w:val="19B34DB1"/>
    <w:rsid w:val="19CC7A79"/>
    <w:rsid w:val="19DD457B"/>
    <w:rsid w:val="19F44957"/>
    <w:rsid w:val="19FD2538"/>
    <w:rsid w:val="1A156CFF"/>
    <w:rsid w:val="1B0357B7"/>
    <w:rsid w:val="1B0362DF"/>
    <w:rsid w:val="1B0F6446"/>
    <w:rsid w:val="1B114875"/>
    <w:rsid w:val="1B2136A5"/>
    <w:rsid w:val="1B742B49"/>
    <w:rsid w:val="1B7A2038"/>
    <w:rsid w:val="1B8B6665"/>
    <w:rsid w:val="1C3F1745"/>
    <w:rsid w:val="1C8702AB"/>
    <w:rsid w:val="1CAD29F5"/>
    <w:rsid w:val="1CBD70B8"/>
    <w:rsid w:val="1CCF5DA1"/>
    <w:rsid w:val="1CE41B29"/>
    <w:rsid w:val="1CF6219E"/>
    <w:rsid w:val="1D011989"/>
    <w:rsid w:val="1D1C4C9A"/>
    <w:rsid w:val="1D4318D2"/>
    <w:rsid w:val="1D435A83"/>
    <w:rsid w:val="1D502683"/>
    <w:rsid w:val="1D582C93"/>
    <w:rsid w:val="1D6A0A81"/>
    <w:rsid w:val="1DCA0187"/>
    <w:rsid w:val="1DEE3EE6"/>
    <w:rsid w:val="1DEF15E5"/>
    <w:rsid w:val="1E4435A6"/>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7A031A"/>
    <w:rsid w:val="209A4709"/>
    <w:rsid w:val="20A32AD4"/>
    <w:rsid w:val="20B42C68"/>
    <w:rsid w:val="20C14537"/>
    <w:rsid w:val="20D03B7B"/>
    <w:rsid w:val="20D63C91"/>
    <w:rsid w:val="20F743F3"/>
    <w:rsid w:val="21225095"/>
    <w:rsid w:val="212C16E5"/>
    <w:rsid w:val="21303DB9"/>
    <w:rsid w:val="21342A72"/>
    <w:rsid w:val="213F7D3B"/>
    <w:rsid w:val="21427B7A"/>
    <w:rsid w:val="217F414A"/>
    <w:rsid w:val="21957A4E"/>
    <w:rsid w:val="21C3772E"/>
    <w:rsid w:val="21D11C50"/>
    <w:rsid w:val="21D55337"/>
    <w:rsid w:val="21FC1CC5"/>
    <w:rsid w:val="220F22ED"/>
    <w:rsid w:val="221E3B77"/>
    <w:rsid w:val="22290B71"/>
    <w:rsid w:val="22711268"/>
    <w:rsid w:val="228C37EE"/>
    <w:rsid w:val="228C6100"/>
    <w:rsid w:val="22A75A54"/>
    <w:rsid w:val="22AF24B4"/>
    <w:rsid w:val="22C75FB3"/>
    <w:rsid w:val="23202A87"/>
    <w:rsid w:val="23221CE5"/>
    <w:rsid w:val="23291D55"/>
    <w:rsid w:val="23331629"/>
    <w:rsid w:val="23470EA4"/>
    <w:rsid w:val="23533555"/>
    <w:rsid w:val="235C166E"/>
    <w:rsid w:val="23A42CCD"/>
    <w:rsid w:val="23B03575"/>
    <w:rsid w:val="23B5629D"/>
    <w:rsid w:val="23C26E54"/>
    <w:rsid w:val="23F25D22"/>
    <w:rsid w:val="24202C55"/>
    <w:rsid w:val="243B42AE"/>
    <w:rsid w:val="244637AD"/>
    <w:rsid w:val="249A29C0"/>
    <w:rsid w:val="24C22F3D"/>
    <w:rsid w:val="24C74E0F"/>
    <w:rsid w:val="24CC38EA"/>
    <w:rsid w:val="24EA1E5C"/>
    <w:rsid w:val="25065F8E"/>
    <w:rsid w:val="2507530A"/>
    <w:rsid w:val="250B72D5"/>
    <w:rsid w:val="252C2973"/>
    <w:rsid w:val="2537405D"/>
    <w:rsid w:val="25374EF4"/>
    <w:rsid w:val="25AF4E68"/>
    <w:rsid w:val="25C23D6B"/>
    <w:rsid w:val="25D12068"/>
    <w:rsid w:val="25D376ED"/>
    <w:rsid w:val="25FB3A5A"/>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E17707"/>
    <w:rsid w:val="2832016E"/>
    <w:rsid w:val="28332E82"/>
    <w:rsid w:val="285D5675"/>
    <w:rsid w:val="287D0804"/>
    <w:rsid w:val="28945AD5"/>
    <w:rsid w:val="28CB2405"/>
    <w:rsid w:val="28E4564A"/>
    <w:rsid w:val="28FD4C25"/>
    <w:rsid w:val="297049A1"/>
    <w:rsid w:val="298E4667"/>
    <w:rsid w:val="29AC15DA"/>
    <w:rsid w:val="2A1D6B49"/>
    <w:rsid w:val="2A6C4DD8"/>
    <w:rsid w:val="2A734F7F"/>
    <w:rsid w:val="2A9758C1"/>
    <w:rsid w:val="2AA2330A"/>
    <w:rsid w:val="2AA86D0F"/>
    <w:rsid w:val="2AB036B9"/>
    <w:rsid w:val="2AC0255C"/>
    <w:rsid w:val="2ACA3C75"/>
    <w:rsid w:val="2AD8248C"/>
    <w:rsid w:val="2B0272F2"/>
    <w:rsid w:val="2B1C6134"/>
    <w:rsid w:val="2B416F31"/>
    <w:rsid w:val="2B547EAB"/>
    <w:rsid w:val="2B752198"/>
    <w:rsid w:val="2BCD50CB"/>
    <w:rsid w:val="2BE307A7"/>
    <w:rsid w:val="2BE702F2"/>
    <w:rsid w:val="2C2358E3"/>
    <w:rsid w:val="2C74409C"/>
    <w:rsid w:val="2C78559C"/>
    <w:rsid w:val="2CCB157B"/>
    <w:rsid w:val="2D044DD1"/>
    <w:rsid w:val="2D1C78E5"/>
    <w:rsid w:val="2D4633AE"/>
    <w:rsid w:val="2D491475"/>
    <w:rsid w:val="2D5E7110"/>
    <w:rsid w:val="2D6B3420"/>
    <w:rsid w:val="2D6B78B2"/>
    <w:rsid w:val="2D702015"/>
    <w:rsid w:val="2D853AD8"/>
    <w:rsid w:val="2D8B655F"/>
    <w:rsid w:val="2DA41677"/>
    <w:rsid w:val="2E022020"/>
    <w:rsid w:val="2E047F28"/>
    <w:rsid w:val="2E452391"/>
    <w:rsid w:val="2E5113E2"/>
    <w:rsid w:val="2E704C0F"/>
    <w:rsid w:val="2E821BE2"/>
    <w:rsid w:val="2EA91D25"/>
    <w:rsid w:val="2EB44765"/>
    <w:rsid w:val="2EBF392D"/>
    <w:rsid w:val="2F1C5807"/>
    <w:rsid w:val="2F21432D"/>
    <w:rsid w:val="2F2A4478"/>
    <w:rsid w:val="2F7E56E8"/>
    <w:rsid w:val="2F8D4F86"/>
    <w:rsid w:val="2F910CF8"/>
    <w:rsid w:val="300C6F30"/>
    <w:rsid w:val="303B074A"/>
    <w:rsid w:val="303D10B7"/>
    <w:rsid w:val="307716A4"/>
    <w:rsid w:val="309D35EF"/>
    <w:rsid w:val="30B66302"/>
    <w:rsid w:val="30B751B3"/>
    <w:rsid w:val="30EF615D"/>
    <w:rsid w:val="3112642C"/>
    <w:rsid w:val="31393383"/>
    <w:rsid w:val="315C7C23"/>
    <w:rsid w:val="317A1577"/>
    <w:rsid w:val="31B10180"/>
    <w:rsid w:val="31CB160E"/>
    <w:rsid w:val="31DB2724"/>
    <w:rsid w:val="31DC0B3C"/>
    <w:rsid w:val="31DC7938"/>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5D7407"/>
    <w:rsid w:val="346C3B06"/>
    <w:rsid w:val="346C40F4"/>
    <w:rsid w:val="347809F2"/>
    <w:rsid w:val="34826A34"/>
    <w:rsid w:val="34CD11F9"/>
    <w:rsid w:val="35091493"/>
    <w:rsid w:val="357F680D"/>
    <w:rsid w:val="35841069"/>
    <w:rsid w:val="358620D9"/>
    <w:rsid w:val="35C87EEC"/>
    <w:rsid w:val="35F02805"/>
    <w:rsid w:val="36351036"/>
    <w:rsid w:val="366828AD"/>
    <w:rsid w:val="368558B3"/>
    <w:rsid w:val="36876E6A"/>
    <w:rsid w:val="36980DD0"/>
    <w:rsid w:val="36B84F47"/>
    <w:rsid w:val="36C0156D"/>
    <w:rsid w:val="36C62DA0"/>
    <w:rsid w:val="36CF4BC1"/>
    <w:rsid w:val="36F23D6A"/>
    <w:rsid w:val="36F7295B"/>
    <w:rsid w:val="37022808"/>
    <w:rsid w:val="371B6C62"/>
    <w:rsid w:val="372D6CF1"/>
    <w:rsid w:val="377A75FB"/>
    <w:rsid w:val="379940D4"/>
    <w:rsid w:val="37E57834"/>
    <w:rsid w:val="381E4BFD"/>
    <w:rsid w:val="38244BD5"/>
    <w:rsid w:val="382A0CE5"/>
    <w:rsid w:val="383261D0"/>
    <w:rsid w:val="385D1023"/>
    <w:rsid w:val="386437DF"/>
    <w:rsid w:val="38646884"/>
    <w:rsid w:val="38910860"/>
    <w:rsid w:val="389526CA"/>
    <w:rsid w:val="38973052"/>
    <w:rsid w:val="38BA0741"/>
    <w:rsid w:val="38C64F92"/>
    <w:rsid w:val="38E005FB"/>
    <w:rsid w:val="38F26FDE"/>
    <w:rsid w:val="39151E6D"/>
    <w:rsid w:val="39266477"/>
    <w:rsid w:val="39340E40"/>
    <w:rsid w:val="39655B7A"/>
    <w:rsid w:val="398F73DC"/>
    <w:rsid w:val="39C01BBA"/>
    <w:rsid w:val="39FB793D"/>
    <w:rsid w:val="3A085BAA"/>
    <w:rsid w:val="3A2C2104"/>
    <w:rsid w:val="3A5C2715"/>
    <w:rsid w:val="3A8945B9"/>
    <w:rsid w:val="3AB3450A"/>
    <w:rsid w:val="3AB73885"/>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B644C5"/>
    <w:rsid w:val="3DC64303"/>
    <w:rsid w:val="3DFD18E3"/>
    <w:rsid w:val="3E234CC4"/>
    <w:rsid w:val="3E302567"/>
    <w:rsid w:val="3E31701C"/>
    <w:rsid w:val="3E56477C"/>
    <w:rsid w:val="3E9F6F1B"/>
    <w:rsid w:val="3ECD7713"/>
    <w:rsid w:val="3ECE2C18"/>
    <w:rsid w:val="3ED2673E"/>
    <w:rsid w:val="3EDF33BB"/>
    <w:rsid w:val="3EF003A8"/>
    <w:rsid w:val="3EF3475E"/>
    <w:rsid w:val="3F22123C"/>
    <w:rsid w:val="3F413CC5"/>
    <w:rsid w:val="3F5F4471"/>
    <w:rsid w:val="3F993EC6"/>
    <w:rsid w:val="3FAA1ACA"/>
    <w:rsid w:val="3FAC2116"/>
    <w:rsid w:val="3FFF04B0"/>
    <w:rsid w:val="401A5EF0"/>
    <w:rsid w:val="405F54C4"/>
    <w:rsid w:val="406A59E1"/>
    <w:rsid w:val="40891574"/>
    <w:rsid w:val="408E1FCA"/>
    <w:rsid w:val="409D1676"/>
    <w:rsid w:val="40B5317E"/>
    <w:rsid w:val="40DD107E"/>
    <w:rsid w:val="40FD44FE"/>
    <w:rsid w:val="410D54FF"/>
    <w:rsid w:val="414350DA"/>
    <w:rsid w:val="414810A7"/>
    <w:rsid w:val="415D190C"/>
    <w:rsid w:val="4173688E"/>
    <w:rsid w:val="417807D9"/>
    <w:rsid w:val="41807BEB"/>
    <w:rsid w:val="418D27F5"/>
    <w:rsid w:val="4196330C"/>
    <w:rsid w:val="419A74AF"/>
    <w:rsid w:val="41AC141A"/>
    <w:rsid w:val="41EB3A9E"/>
    <w:rsid w:val="42002BF2"/>
    <w:rsid w:val="421C1817"/>
    <w:rsid w:val="422229E2"/>
    <w:rsid w:val="42833550"/>
    <w:rsid w:val="4287634C"/>
    <w:rsid w:val="42C45FF8"/>
    <w:rsid w:val="42CA1067"/>
    <w:rsid w:val="42E63A7F"/>
    <w:rsid w:val="43117778"/>
    <w:rsid w:val="431C55A9"/>
    <w:rsid w:val="43541CB0"/>
    <w:rsid w:val="437A39CA"/>
    <w:rsid w:val="43C3015A"/>
    <w:rsid w:val="43C646E2"/>
    <w:rsid w:val="43E04637"/>
    <w:rsid w:val="43FA55C2"/>
    <w:rsid w:val="43FE6560"/>
    <w:rsid w:val="44190C7C"/>
    <w:rsid w:val="44335CBE"/>
    <w:rsid w:val="443F05B7"/>
    <w:rsid w:val="444157D5"/>
    <w:rsid w:val="445E0231"/>
    <w:rsid w:val="44845A57"/>
    <w:rsid w:val="44951CA9"/>
    <w:rsid w:val="44A5291F"/>
    <w:rsid w:val="44A873B1"/>
    <w:rsid w:val="44F46B32"/>
    <w:rsid w:val="45093F8F"/>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82C2022"/>
    <w:rsid w:val="483010A5"/>
    <w:rsid w:val="48550397"/>
    <w:rsid w:val="488A3975"/>
    <w:rsid w:val="48984334"/>
    <w:rsid w:val="48D51D8B"/>
    <w:rsid w:val="490C5F75"/>
    <w:rsid w:val="49211746"/>
    <w:rsid w:val="494D3655"/>
    <w:rsid w:val="4977131A"/>
    <w:rsid w:val="49DD0F1D"/>
    <w:rsid w:val="49E20D34"/>
    <w:rsid w:val="49F15096"/>
    <w:rsid w:val="4A02212D"/>
    <w:rsid w:val="4A1A4DC2"/>
    <w:rsid w:val="4A236E05"/>
    <w:rsid w:val="4A38409F"/>
    <w:rsid w:val="4A6E2D05"/>
    <w:rsid w:val="4A71640B"/>
    <w:rsid w:val="4A937223"/>
    <w:rsid w:val="4AC54B94"/>
    <w:rsid w:val="4ADC0ED2"/>
    <w:rsid w:val="4AE048A4"/>
    <w:rsid w:val="4B0938BE"/>
    <w:rsid w:val="4B412DF2"/>
    <w:rsid w:val="4B4E0FC1"/>
    <w:rsid w:val="4B8143F2"/>
    <w:rsid w:val="4B940F9E"/>
    <w:rsid w:val="4B9565DB"/>
    <w:rsid w:val="4BBB3EF9"/>
    <w:rsid w:val="4BC624A8"/>
    <w:rsid w:val="4BD00645"/>
    <w:rsid w:val="4C32162C"/>
    <w:rsid w:val="4C9849BC"/>
    <w:rsid w:val="4CDC10F5"/>
    <w:rsid w:val="4CE67327"/>
    <w:rsid w:val="4CEB61EE"/>
    <w:rsid w:val="4D42128E"/>
    <w:rsid w:val="4D4B4FC8"/>
    <w:rsid w:val="4D506F55"/>
    <w:rsid w:val="4D5A057B"/>
    <w:rsid w:val="4D5E1FDB"/>
    <w:rsid w:val="4D640D09"/>
    <w:rsid w:val="4D6C0912"/>
    <w:rsid w:val="4D934E46"/>
    <w:rsid w:val="4D9D220A"/>
    <w:rsid w:val="4D9D441E"/>
    <w:rsid w:val="4DAB5909"/>
    <w:rsid w:val="4DCD56A8"/>
    <w:rsid w:val="4DE81D79"/>
    <w:rsid w:val="4DF243BC"/>
    <w:rsid w:val="4E0B01FE"/>
    <w:rsid w:val="4E2B0F4F"/>
    <w:rsid w:val="4E4E3891"/>
    <w:rsid w:val="4E5A1F9A"/>
    <w:rsid w:val="4E9D1C1C"/>
    <w:rsid w:val="4EAF1CC4"/>
    <w:rsid w:val="4EC70016"/>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C8404D"/>
    <w:rsid w:val="51117EE4"/>
    <w:rsid w:val="5126104F"/>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46F93"/>
    <w:rsid w:val="53653F46"/>
    <w:rsid w:val="5392540C"/>
    <w:rsid w:val="53B3034F"/>
    <w:rsid w:val="540A11ED"/>
    <w:rsid w:val="54293AD9"/>
    <w:rsid w:val="54442A7B"/>
    <w:rsid w:val="54550AD6"/>
    <w:rsid w:val="54865517"/>
    <w:rsid w:val="54990450"/>
    <w:rsid w:val="54E43FB4"/>
    <w:rsid w:val="5558452D"/>
    <w:rsid w:val="5594183F"/>
    <w:rsid w:val="55971945"/>
    <w:rsid w:val="55AA7B8D"/>
    <w:rsid w:val="55B607A1"/>
    <w:rsid w:val="55C477FF"/>
    <w:rsid w:val="55E05555"/>
    <w:rsid w:val="55F30092"/>
    <w:rsid w:val="55F92F01"/>
    <w:rsid w:val="562927CE"/>
    <w:rsid w:val="56332CEF"/>
    <w:rsid w:val="56A36A86"/>
    <w:rsid w:val="56D51695"/>
    <w:rsid w:val="56E01E7C"/>
    <w:rsid w:val="56FF2C87"/>
    <w:rsid w:val="57083261"/>
    <w:rsid w:val="576725D2"/>
    <w:rsid w:val="57735468"/>
    <w:rsid w:val="57A07C25"/>
    <w:rsid w:val="57AC473C"/>
    <w:rsid w:val="57D845B0"/>
    <w:rsid w:val="58033794"/>
    <w:rsid w:val="58212766"/>
    <w:rsid w:val="583B5BED"/>
    <w:rsid w:val="584B2C50"/>
    <w:rsid w:val="58575B08"/>
    <w:rsid w:val="589A07FB"/>
    <w:rsid w:val="58B74D14"/>
    <w:rsid w:val="58B947D2"/>
    <w:rsid w:val="58BE1D95"/>
    <w:rsid w:val="58C064D2"/>
    <w:rsid w:val="58E12471"/>
    <w:rsid w:val="59020C98"/>
    <w:rsid w:val="591D6DEF"/>
    <w:rsid w:val="5960288A"/>
    <w:rsid w:val="59A76356"/>
    <w:rsid w:val="59E76BAA"/>
    <w:rsid w:val="59F519D4"/>
    <w:rsid w:val="5A050A6E"/>
    <w:rsid w:val="5A5A6A53"/>
    <w:rsid w:val="5A8149E6"/>
    <w:rsid w:val="5A9A1081"/>
    <w:rsid w:val="5ABD6DE3"/>
    <w:rsid w:val="5ABE4B4A"/>
    <w:rsid w:val="5AC01401"/>
    <w:rsid w:val="5AC7420B"/>
    <w:rsid w:val="5AE34D92"/>
    <w:rsid w:val="5B1001B5"/>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291F54"/>
    <w:rsid w:val="5D3E0BA9"/>
    <w:rsid w:val="5D955364"/>
    <w:rsid w:val="5DC11D4B"/>
    <w:rsid w:val="5DCD542B"/>
    <w:rsid w:val="5DCF2540"/>
    <w:rsid w:val="5DDE0A36"/>
    <w:rsid w:val="5DE44585"/>
    <w:rsid w:val="5DE9733D"/>
    <w:rsid w:val="5DED6180"/>
    <w:rsid w:val="5E02670B"/>
    <w:rsid w:val="5E08794E"/>
    <w:rsid w:val="5E85744A"/>
    <w:rsid w:val="5E8D3F43"/>
    <w:rsid w:val="5E9D79FE"/>
    <w:rsid w:val="5EA07701"/>
    <w:rsid w:val="5EB75285"/>
    <w:rsid w:val="5F341672"/>
    <w:rsid w:val="5F530CCB"/>
    <w:rsid w:val="5FA25AE7"/>
    <w:rsid w:val="5FBB0E67"/>
    <w:rsid w:val="5FEB2D87"/>
    <w:rsid w:val="5FF92694"/>
    <w:rsid w:val="60094922"/>
    <w:rsid w:val="600E1AEF"/>
    <w:rsid w:val="600E2211"/>
    <w:rsid w:val="60247FFD"/>
    <w:rsid w:val="602F511B"/>
    <w:rsid w:val="604A5077"/>
    <w:rsid w:val="605F2621"/>
    <w:rsid w:val="60A14466"/>
    <w:rsid w:val="60AF1518"/>
    <w:rsid w:val="60DD22F5"/>
    <w:rsid w:val="60E42733"/>
    <w:rsid w:val="6107582C"/>
    <w:rsid w:val="6153428A"/>
    <w:rsid w:val="617C7F2C"/>
    <w:rsid w:val="61980250"/>
    <w:rsid w:val="61D740F7"/>
    <w:rsid w:val="6228683D"/>
    <w:rsid w:val="62756CE9"/>
    <w:rsid w:val="6294722E"/>
    <w:rsid w:val="62B660C6"/>
    <w:rsid w:val="62E56056"/>
    <w:rsid w:val="62FE3F08"/>
    <w:rsid w:val="63023C14"/>
    <w:rsid w:val="63295801"/>
    <w:rsid w:val="63776804"/>
    <w:rsid w:val="638B6757"/>
    <w:rsid w:val="639E2905"/>
    <w:rsid w:val="63F83E99"/>
    <w:rsid w:val="63FF46D7"/>
    <w:rsid w:val="642F4426"/>
    <w:rsid w:val="64381701"/>
    <w:rsid w:val="6443381E"/>
    <w:rsid w:val="644940AB"/>
    <w:rsid w:val="64BD6E2A"/>
    <w:rsid w:val="64C67E05"/>
    <w:rsid w:val="64CF0127"/>
    <w:rsid w:val="64DA2E60"/>
    <w:rsid w:val="64F55695"/>
    <w:rsid w:val="65047D30"/>
    <w:rsid w:val="65283AF6"/>
    <w:rsid w:val="65440D8C"/>
    <w:rsid w:val="6564571B"/>
    <w:rsid w:val="65656A70"/>
    <w:rsid w:val="6574328C"/>
    <w:rsid w:val="658D79B1"/>
    <w:rsid w:val="65E06B45"/>
    <w:rsid w:val="664E5351"/>
    <w:rsid w:val="66503496"/>
    <w:rsid w:val="66595BE2"/>
    <w:rsid w:val="668B6FEC"/>
    <w:rsid w:val="66A31B35"/>
    <w:rsid w:val="66AE3981"/>
    <w:rsid w:val="66D11AB5"/>
    <w:rsid w:val="66D1318D"/>
    <w:rsid w:val="66EC3A82"/>
    <w:rsid w:val="66ED6329"/>
    <w:rsid w:val="6721791E"/>
    <w:rsid w:val="67271ECB"/>
    <w:rsid w:val="6777089F"/>
    <w:rsid w:val="67C76B90"/>
    <w:rsid w:val="6817492F"/>
    <w:rsid w:val="68733E51"/>
    <w:rsid w:val="68920D3E"/>
    <w:rsid w:val="68A33F3C"/>
    <w:rsid w:val="68BA4B9D"/>
    <w:rsid w:val="68D12A13"/>
    <w:rsid w:val="68E44CD3"/>
    <w:rsid w:val="690374EE"/>
    <w:rsid w:val="691A169D"/>
    <w:rsid w:val="6923160C"/>
    <w:rsid w:val="692F3612"/>
    <w:rsid w:val="692F4C62"/>
    <w:rsid w:val="69692F41"/>
    <w:rsid w:val="698A554F"/>
    <w:rsid w:val="698E456E"/>
    <w:rsid w:val="699A4896"/>
    <w:rsid w:val="69A45301"/>
    <w:rsid w:val="69B43BB5"/>
    <w:rsid w:val="69D35325"/>
    <w:rsid w:val="69EB2EF3"/>
    <w:rsid w:val="69F56C12"/>
    <w:rsid w:val="6A09181B"/>
    <w:rsid w:val="6A2B6A7F"/>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030EC0"/>
    <w:rsid w:val="6E2C2401"/>
    <w:rsid w:val="6E4E2C42"/>
    <w:rsid w:val="6E5227E6"/>
    <w:rsid w:val="6E602800"/>
    <w:rsid w:val="6E680A74"/>
    <w:rsid w:val="6E98497B"/>
    <w:rsid w:val="6F5959E9"/>
    <w:rsid w:val="6F7D4D72"/>
    <w:rsid w:val="6F7E1F74"/>
    <w:rsid w:val="6F9B47D1"/>
    <w:rsid w:val="6FB12692"/>
    <w:rsid w:val="6FBF6389"/>
    <w:rsid w:val="6FC753E3"/>
    <w:rsid w:val="6FD01291"/>
    <w:rsid w:val="70490565"/>
    <w:rsid w:val="70CC3C5C"/>
    <w:rsid w:val="70CD60C5"/>
    <w:rsid w:val="70CE1A68"/>
    <w:rsid w:val="70E66DDE"/>
    <w:rsid w:val="710D33C2"/>
    <w:rsid w:val="711D5D49"/>
    <w:rsid w:val="717C7F55"/>
    <w:rsid w:val="718B6BF4"/>
    <w:rsid w:val="71E53DA7"/>
    <w:rsid w:val="71F31E7E"/>
    <w:rsid w:val="71F83650"/>
    <w:rsid w:val="727D2A6F"/>
    <w:rsid w:val="729C5D0C"/>
    <w:rsid w:val="72A51655"/>
    <w:rsid w:val="72B33B48"/>
    <w:rsid w:val="72BD6B75"/>
    <w:rsid w:val="73253CEE"/>
    <w:rsid w:val="732A6942"/>
    <w:rsid w:val="735D6653"/>
    <w:rsid w:val="73B65107"/>
    <w:rsid w:val="73CD1828"/>
    <w:rsid w:val="73E9784B"/>
    <w:rsid w:val="73EE7FAE"/>
    <w:rsid w:val="73F0718E"/>
    <w:rsid w:val="74070CA0"/>
    <w:rsid w:val="74534933"/>
    <w:rsid w:val="74700DEC"/>
    <w:rsid w:val="7481099D"/>
    <w:rsid w:val="748E118B"/>
    <w:rsid w:val="74B57A32"/>
    <w:rsid w:val="74D64864"/>
    <w:rsid w:val="74E16D8B"/>
    <w:rsid w:val="74E6272A"/>
    <w:rsid w:val="75151909"/>
    <w:rsid w:val="751C632F"/>
    <w:rsid w:val="752C0B88"/>
    <w:rsid w:val="75366D02"/>
    <w:rsid w:val="75494F9F"/>
    <w:rsid w:val="75537E4E"/>
    <w:rsid w:val="75762B98"/>
    <w:rsid w:val="75871A0B"/>
    <w:rsid w:val="75991092"/>
    <w:rsid w:val="759B5E27"/>
    <w:rsid w:val="75A572D1"/>
    <w:rsid w:val="75E62317"/>
    <w:rsid w:val="761335AB"/>
    <w:rsid w:val="76373B59"/>
    <w:rsid w:val="765B6B67"/>
    <w:rsid w:val="765F6F55"/>
    <w:rsid w:val="769578ED"/>
    <w:rsid w:val="769B5423"/>
    <w:rsid w:val="76B356B1"/>
    <w:rsid w:val="76D600D5"/>
    <w:rsid w:val="76E04FCA"/>
    <w:rsid w:val="774D70B5"/>
    <w:rsid w:val="77711DFB"/>
    <w:rsid w:val="77791211"/>
    <w:rsid w:val="777A22DF"/>
    <w:rsid w:val="77A870F8"/>
    <w:rsid w:val="77C853D2"/>
    <w:rsid w:val="77CB6284"/>
    <w:rsid w:val="77D9063B"/>
    <w:rsid w:val="77E56373"/>
    <w:rsid w:val="77EB0093"/>
    <w:rsid w:val="77FB63D4"/>
    <w:rsid w:val="78192D15"/>
    <w:rsid w:val="78474B5C"/>
    <w:rsid w:val="78FC7191"/>
    <w:rsid w:val="79232B20"/>
    <w:rsid w:val="79714322"/>
    <w:rsid w:val="7983555C"/>
    <w:rsid w:val="798B1010"/>
    <w:rsid w:val="799F241C"/>
    <w:rsid w:val="79F253C4"/>
    <w:rsid w:val="79F31054"/>
    <w:rsid w:val="7A214ED9"/>
    <w:rsid w:val="7A263D9D"/>
    <w:rsid w:val="7A2D254D"/>
    <w:rsid w:val="7A3C22D1"/>
    <w:rsid w:val="7A6E4C98"/>
    <w:rsid w:val="7A8B4514"/>
    <w:rsid w:val="7AA13DC8"/>
    <w:rsid w:val="7ABA54A1"/>
    <w:rsid w:val="7ABE62BC"/>
    <w:rsid w:val="7AC22E37"/>
    <w:rsid w:val="7B046CE2"/>
    <w:rsid w:val="7B0574E9"/>
    <w:rsid w:val="7B091377"/>
    <w:rsid w:val="7B0C2AC3"/>
    <w:rsid w:val="7B367327"/>
    <w:rsid w:val="7B5E2AA7"/>
    <w:rsid w:val="7B61226F"/>
    <w:rsid w:val="7BA571A1"/>
    <w:rsid w:val="7BB71CF7"/>
    <w:rsid w:val="7BDF31DE"/>
    <w:rsid w:val="7BE20537"/>
    <w:rsid w:val="7BEE776A"/>
    <w:rsid w:val="7BF7759F"/>
    <w:rsid w:val="7C2C4A60"/>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79455A"/>
    <w:rsid w:val="7F857E0B"/>
    <w:rsid w:val="7F985F2C"/>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2021-09-30T06:48:09Z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9287CD1DB6F74A3D9E0854E8BB5C20FA</vt:lpwstr>
  </property>
</Properties>
</file>