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方正粗黑宋简体" w:hAnsi="方正粗黑宋简体" w:eastAsia="方正粗黑宋简体" w:cs="宋体"/>
          <w:b/>
          <w:bCs/>
          <w:sz w:val="44"/>
          <w:szCs w:val="44"/>
          <w:lang w:val="en-US"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7.04</w:t>
      </w:r>
      <w:bookmarkStart w:id="165" w:name="_GoBack"/>
      <w:bookmarkEnd w:id="165"/>
      <w:r>
        <w:rPr>
          <w:rFonts w:hint="eastAsia" w:ascii="方正粗黑宋简体" w:hAnsi="方正粗黑宋简体" w:eastAsia="方正粗黑宋简体" w:cs="宋体"/>
          <w:b/>
          <w:bCs/>
          <w:sz w:val="44"/>
          <w:szCs w:val="44"/>
          <w:lang w:val="en-US" w:eastAsia="zh-CN"/>
        </w:rPr>
        <w:t>日</w:t>
      </w:r>
    </w:p>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方正小标宋简体"/>
          <w:b/>
          <w:bCs/>
          <w:kern w:val="0"/>
          <w:sz w:val="44"/>
          <w:szCs w:val="44"/>
          <w:lang w:val="en-US" w:eastAsia="zh-CN"/>
        </w:rPr>
        <w:t>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7</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04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525632585"/>
      <w:bookmarkStart w:id="4" w:name="_Toc13871"/>
      <w:bookmarkStart w:id="5" w:name="_Toc6496_WPSOffice_Level2"/>
      <w:bookmarkStart w:id="6" w:name="_Toc4489_WPSOffice_Level2"/>
      <w:bookmarkStart w:id="7" w:name="_Toc24354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4台越野车，1台商务车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0274"/>
      <w:bookmarkStart w:id="10" w:name="_Toc18453"/>
      <w:bookmarkStart w:id="11" w:name="_Toc23266_WPSOffice_Level2"/>
      <w:bookmarkStart w:id="12" w:name="_Toc18367_WPSOffice_Level2"/>
      <w:bookmarkStart w:id="13" w:name="_Toc8128_WPSOffice_Level2"/>
      <w:bookmarkStart w:id="14" w:name="_Toc17858_WPSOffice_Level2"/>
      <w:bookmarkStart w:id="15" w:name="_Toc525632586"/>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GS8 390T AT越野车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采购途睿欧手动挡精英版</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 xml:space="preserve">GS8 390T AT越野车4辆 </w:t>
      </w:r>
      <w:r>
        <w:rPr>
          <w:rFonts w:hint="eastAsia" w:ascii="Times New Roman" w:hAnsi="Times New Roman" w:cs="Times New Roman"/>
          <w:color w:val="auto"/>
          <w:sz w:val="21"/>
          <w:szCs w:val="22"/>
          <w:highlight w:val="none"/>
          <w:u w:val="single"/>
          <w:lang w:val="en-US" w:eastAsia="zh-CN"/>
        </w:rPr>
        <w:t xml:space="preserve">为1包  </w:t>
      </w:r>
      <w:r>
        <w:rPr>
          <w:rFonts w:hint="eastAsia" w:ascii="宋体" w:hAnsi="宋体" w:eastAsia="宋体" w:cs="宋体"/>
          <w:color w:val="auto"/>
          <w:sz w:val="21"/>
          <w:szCs w:val="21"/>
          <w:highlight w:val="none"/>
          <w:u w:val="single"/>
          <w:lang w:val="en-US" w:eastAsia="zh-CN"/>
        </w:rPr>
        <w:t>采购途睿欧手动挡精英版1辆</w:t>
      </w:r>
      <w:r>
        <w:rPr>
          <w:rFonts w:hint="eastAsia" w:ascii="Times New Roman" w:hAnsi="Times New Roman" w:cs="Times New Roman"/>
          <w:color w:val="auto"/>
          <w:sz w:val="21"/>
          <w:szCs w:val="22"/>
          <w:highlight w:val="none"/>
          <w:u w:val="single"/>
          <w:lang w:val="en-US" w:eastAsia="zh-CN"/>
        </w:rPr>
        <w:t xml:space="preserve"> 为2包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1包控制价72万元， 2包控制价20万元（含车辆购置税）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5"/>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22379_WPSOffice_Level2"/>
      <w:bookmarkStart w:id="21" w:name="_Toc31673_WPSOffice_Level2"/>
      <w:bookmarkStart w:id="22" w:name="_Toc1622_WPSOffice_Level2"/>
      <w:bookmarkStart w:id="23" w:name="_Toc525632587"/>
      <w:bookmarkStart w:id="24" w:name="_Toc3714"/>
      <w:bookmarkStart w:id="25" w:name="_Toc29516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20台。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109_WPSOffice_Level2"/>
      <w:bookmarkStart w:id="27" w:name="_Toc1994"/>
      <w:bookmarkStart w:id="28" w:name="_Toc29452_WPSOffice_Level2"/>
      <w:bookmarkStart w:id="29" w:name="_Toc25666_WPSOffice_Level2"/>
      <w:bookmarkStart w:id="30" w:name="_Toc525632588"/>
      <w:bookmarkStart w:id="31" w:name="_Toc2996_WPSOffice_Level2"/>
      <w:bookmarkStart w:id="32" w:name="_Toc4751"/>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7</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15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7</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15</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525632592"/>
      <w:bookmarkStart w:id="39" w:name="_Toc28571_WPSOffice_Level2"/>
      <w:bookmarkStart w:id="40" w:name="_Toc14943_WPSOffice_Level2"/>
      <w:bookmarkStart w:id="41" w:name="_Toc20572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7</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14201245"/>
      <w:bookmarkStart w:id="53" w:name="_Toc9067726"/>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14201262"/>
      <w:bookmarkStart w:id="66"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9067731"/>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2932_WPSOffice_Level2"/>
      <w:bookmarkStart w:id="78" w:name="_Toc1346_WPSOffice_Level2"/>
      <w:bookmarkStart w:id="79" w:name="_Toc15620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13397_WPSOffice_Level2"/>
      <w:bookmarkStart w:id="84" w:name="_Toc3913_WPSOffice_Level2"/>
      <w:bookmarkStart w:id="85" w:name="_Toc5114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8934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2"/>
        <w:numPr>
          <w:ilvl w:val="0"/>
          <w:numId w:val="0"/>
        </w:numPr>
        <w:spacing w:before="240" w:after="240"/>
        <w:jc w:val="left"/>
        <w:rPr>
          <w:rFonts w:hint="default" w:ascii="宋体" w:hAnsi="宋体" w:eastAsia="宋体" w:cs="宋体"/>
          <w:b/>
          <w:bCs/>
          <w:sz w:val="30"/>
          <w:szCs w:val="30"/>
          <w:u w:val="none"/>
          <w:lang w:val="en-US" w:eastAsia="zh-CN"/>
        </w:rPr>
      </w:pPr>
      <w:r>
        <w:rPr>
          <w:rFonts w:hint="eastAsia" w:ascii="宋体" w:hAnsi="宋体" w:eastAsia="宋体" w:cs="宋体"/>
          <w:b/>
          <w:bCs/>
          <w:sz w:val="30"/>
          <w:szCs w:val="30"/>
          <w:lang w:val="en-US" w:eastAsia="zh-CN"/>
        </w:rPr>
        <w:t xml:space="preserve">（1）GS8 390T AT </w:t>
      </w:r>
    </w:p>
    <w:tbl>
      <w:tblPr>
        <w:tblStyle w:val="11"/>
        <w:tblW w:w="9030" w:type="dxa"/>
        <w:tblInd w:w="93" w:type="dxa"/>
        <w:shd w:val="clear" w:color="auto" w:fill="auto"/>
        <w:tblLayout w:type="autofit"/>
        <w:tblCellMar>
          <w:top w:w="0" w:type="dxa"/>
          <w:left w:w="108" w:type="dxa"/>
          <w:bottom w:w="0" w:type="dxa"/>
          <w:right w:w="108" w:type="dxa"/>
        </w:tblCellMar>
      </w:tblPr>
      <w:tblGrid>
        <w:gridCol w:w="3930"/>
        <w:gridCol w:w="5100"/>
      </w:tblGrid>
      <w:tr>
        <w:tblPrEx>
          <w:tblCellMar>
            <w:top w:w="0" w:type="dxa"/>
            <w:left w:w="108" w:type="dxa"/>
            <w:bottom w:w="0" w:type="dxa"/>
            <w:right w:w="108" w:type="dxa"/>
          </w:tblCellMar>
        </w:tblPrEx>
        <w:trPr>
          <w:trHeight w:val="229" w:hRule="atLeast"/>
        </w:trPr>
        <w:tc>
          <w:tcPr>
            <w:tcW w:w="90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333333"/>
                <w:sz w:val="30"/>
                <w:szCs w:val="30"/>
                <w:u w:val="none"/>
              </w:rPr>
            </w:pP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长 × 宽 × 高(mm)</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4835×1910×1785</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轴距(mm)</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最小离地间隙（mm）</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油箱容积(L)</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整备质量(kg)</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1815 - 1975</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发动机</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传祺第三代390T发动机</w:t>
            </w:r>
          </w:p>
        </w:tc>
      </w:tr>
      <w:tr>
        <w:tblPrEx>
          <w:shd w:val="clear" w:color="auto" w:fill="auto"/>
          <w:tblCellMar>
            <w:top w:w="0" w:type="dxa"/>
            <w:left w:w="108" w:type="dxa"/>
            <w:bottom w:w="0" w:type="dxa"/>
            <w:right w:w="108" w:type="dxa"/>
          </w:tblCellMar>
        </w:tblPrEx>
        <w:trPr>
          <w:trHeight w:val="1060"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主要发动机技术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全新350bar高压缸内直喷技术、电控可变机油泵技术、GCCS燃烧控制专利技术、低惯量E-Turbo增压技术、DCVVT双连续可变气门正时机构</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启停系统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start-stop智能节油启停系统</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排量(cc)</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1991</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最大功率/转速(kW/rpm)</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 / 5250</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最大扭矩/转速(Nm/rpm)</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 / 1750-4000</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变速箱形式</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爱信6AT变速箱</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驱动方式</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2WD 前轮驱动</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全地形驾驶模式</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经济/智能/运动/USER模式</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百公里油耗(L/100km)</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排放标准</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国VI</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悬挂系统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前麦弗逊式独立悬挂/后多连杆独立悬挂</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制动系统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前通风盘式/后盘式</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转向系统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EPS电动助力转向系统</w:t>
            </w:r>
          </w:p>
        </w:tc>
      </w:tr>
      <w:tr>
        <w:tblPrEx>
          <w:shd w:val="clear" w:color="auto" w:fill="auto"/>
          <w:tblCellMar>
            <w:top w:w="0" w:type="dxa"/>
            <w:left w:w="108" w:type="dxa"/>
            <w:bottom w:w="0" w:type="dxa"/>
            <w:right w:w="108" w:type="dxa"/>
          </w:tblCellMar>
        </w:tblPrEx>
        <w:trPr>
          <w:trHeight w:val="439" w:hRule="atLeast"/>
        </w:trPr>
        <w:tc>
          <w:tcPr>
            <w:tcW w:w="90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85886"/>
                <w:sz w:val="30"/>
                <w:szCs w:val="30"/>
                <w:u w:val="none"/>
              </w:rPr>
            </w:pPr>
            <w:r>
              <w:rPr>
                <w:rFonts w:hint="eastAsia" w:ascii="微软雅黑" w:hAnsi="微软雅黑" w:eastAsia="微软雅黑" w:cs="微软雅黑"/>
                <w:b/>
                <w:bCs/>
                <w:i w:val="0"/>
                <w:iCs w:val="0"/>
                <w:color w:val="385886"/>
                <w:kern w:val="0"/>
                <w:sz w:val="30"/>
                <w:szCs w:val="30"/>
                <w:u w:val="none"/>
                <w:lang w:val="en-US" w:eastAsia="zh-CN" w:bidi="ar"/>
              </w:rPr>
              <w:t>装备配置</w:t>
            </w:r>
          </w:p>
        </w:tc>
      </w:tr>
      <w:tr>
        <w:tblPrEx>
          <w:tblCellMar>
            <w:top w:w="0" w:type="dxa"/>
            <w:left w:w="108" w:type="dxa"/>
            <w:bottom w:w="0" w:type="dxa"/>
            <w:right w:w="108" w:type="dxa"/>
          </w:tblCellMar>
        </w:tblPrEx>
        <w:trPr>
          <w:trHeight w:val="450" w:hRule="atLeast"/>
        </w:trPr>
        <w:tc>
          <w:tcPr>
            <w:tcW w:w="90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30"/>
                <w:szCs w:val="30"/>
                <w:u w:val="none"/>
              </w:rPr>
            </w:pPr>
            <w:r>
              <w:rPr>
                <w:rFonts w:hint="eastAsia" w:ascii="微软雅黑" w:hAnsi="微软雅黑" w:eastAsia="微软雅黑" w:cs="微软雅黑"/>
                <w:b/>
                <w:bCs/>
                <w:i w:val="0"/>
                <w:iCs w:val="0"/>
                <w:color w:val="333333"/>
                <w:kern w:val="0"/>
                <w:sz w:val="30"/>
                <w:szCs w:val="30"/>
                <w:u w:val="none"/>
                <w:lang w:val="en-US" w:eastAsia="zh-CN" w:bidi="ar"/>
              </w:rPr>
              <w:t>霸气外观设计</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Flying Dynamics 暗黑骑士凌云翼镀铬前格栅</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52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纵向矩阵式全LED前大灯（带高度自动可调/转角辅助LED灯）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透镜氙气前大灯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透镜卤素前大灯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前大灯自动感应开启/延时关闭/未关警示功能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战斧式前雾灯镀铬装饰套件</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LED晶钻前雾灯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双U型隧道式LED组合尾灯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横向拓展式双后雾灯 + LED高位刹车灯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外后视镜集成光导LED转向灯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外后视镜集成LED迎宾照明灯/外后视镜倒车智能翻转</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外后视镜电动调节</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99"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外后视镜电动加热功能/电动折叠/锁车自动折叠</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20英寸光影切削铝合金大轮毂 + 255/45 R20轮胎</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19英寸极简豪华铝合金大轮毂 + 245/55 R19轮胎</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18英寸时尚铝合金轮毂 + 235/60 R18轮胎</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非全尺寸备胎</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家族隐藏式D柱高档设计+侧裙专属Trumpchi金属铭牌</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尊贵后排车窗及后风窗隐私玻璃</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铝合金行李架</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低风阻鲨鱼鳍天线</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不锈钢行李箱外饰板</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前后保险杠越野饰件 + 方形镀铬双排气管</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博世雨量感应智能自动无骨雨刮 + 后风挡无骨雨刮</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90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30"/>
                <w:szCs w:val="30"/>
                <w:u w:val="none"/>
              </w:rPr>
            </w:pPr>
            <w:r>
              <w:rPr>
                <w:rFonts w:hint="eastAsia" w:ascii="微软雅黑" w:hAnsi="微软雅黑" w:eastAsia="微软雅黑" w:cs="微软雅黑"/>
                <w:b/>
                <w:bCs/>
                <w:i w:val="0"/>
                <w:iCs w:val="0"/>
                <w:color w:val="333333"/>
                <w:kern w:val="0"/>
                <w:sz w:val="30"/>
                <w:szCs w:val="30"/>
                <w:u w:val="none"/>
                <w:lang w:val="en-US" w:eastAsia="zh-CN" w:bidi="ar"/>
              </w:rPr>
              <w:t>豪华舒雅内饰</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环抱式豪华立体座舱</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i-Shift智能电子换挡</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Ultrasuede超纤麂皮门饰板</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子夜骑士全黑内饰</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摩登之声浅色内饰</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○（带防污工艺）</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爱信通览式超大尺寸全景天窗</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内藏式防夹电动天窗</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真皮方向盘</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多功能方向盘（带四向手动调节/定速巡航功能）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方向盘带换挡拨片/电动加热功能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压力分散式人体工学座椅</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超纤麂皮拼豪华真皮座椅</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豪华真皮座椅</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高级皮质座椅（第三排）</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质感织物座椅</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主驾驶席12向电动调节/副驾驶席4向电动调节功能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主驾驶席10向电动调节/副驾驶席4向电动调节功能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主驾驶席6向电动调节/副驾驶席4向电动调节功能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主驾驶席6向手动调节/副驾驶席4向手动调节功能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前排座椅头枕手动4向调节</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前排座椅头枕手动2向调节</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主驾驶座智能记忆功能（与外后视镜联动，带迎宾功能）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副驾驶席座椅下方储物盒</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前排座椅高中低温三模式智能加热</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前排座椅智能通风功能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前排对开式超大储物扶手箱（带12V电源接口）</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全车一键式升降车窗</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52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第二排座椅（可前后滑移，可调节靠背角度，可4/6分放倒，带中央扶手及杯托）</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52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第三排座椅（可完全放平，可调节靠背角度，带两侧独立杯架）</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第二/三排全方位空调出风口（头部及脚部出风口）</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三区独立控制自动恒温空调（带后排独立空调控制面板）</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双区独立控制自动恒温空调（带后排出风口）</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PM2.5高效空调滤芯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PM2.5数据可视化传感器</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纳米小粒径负离子发生器</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AQS空气质量自动管理系统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车内湿度传感器</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后备箱带12V电源接口/照明灯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深海静谧级NVH工程及低VOC车内环境</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前风挡隔音玻璃</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64" w:hRule="atLeast"/>
        </w:trPr>
        <w:tc>
          <w:tcPr>
            <w:tcW w:w="90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30"/>
                <w:szCs w:val="30"/>
                <w:u w:val="none"/>
              </w:rPr>
            </w:pPr>
            <w:r>
              <w:rPr>
                <w:rFonts w:hint="eastAsia" w:ascii="微软雅黑" w:hAnsi="微软雅黑" w:eastAsia="微软雅黑" w:cs="微软雅黑"/>
                <w:b/>
                <w:bCs/>
                <w:i w:val="0"/>
                <w:iCs w:val="0"/>
                <w:color w:val="333333"/>
                <w:kern w:val="0"/>
                <w:sz w:val="30"/>
                <w:szCs w:val="30"/>
                <w:u w:val="none"/>
                <w:lang w:val="en-US" w:eastAsia="zh-CN" w:bidi="ar"/>
              </w:rPr>
              <w:t>智联娱乐科技</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12.3英寸全液晶高清仪表</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7英寸全彩液晶仪表</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10.1英寸高清全彩液晶中控大屏</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360°高清全景泊车影像系统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180°广角倒车影像系统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智能手机互联系统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车载蓝牙免提系统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15W手机无线充电</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10扬声器哈曼infinity品牌音响（带后置重低音扬声器）</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8扬声器高保真音响</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16色智能氛围灯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冰蓝极光氛围灯</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智能钥匙（带启动发动机/寻车功能）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第二代PEPS无钥匙进入及一键启动系统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Easy Entry车门智能感应解锁功能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电动掀背尾门（带Easy Open尾门智能感应开启功能）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北斗/GPS双模式3D语音导航系统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50" w:hRule="atLeast"/>
        </w:trPr>
        <w:tc>
          <w:tcPr>
            <w:tcW w:w="90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30"/>
                <w:szCs w:val="30"/>
                <w:u w:val="none"/>
              </w:rPr>
            </w:pPr>
            <w:r>
              <w:rPr>
                <w:rFonts w:hint="eastAsia" w:ascii="微软雅黑" w:hAnsi="微软雅黑" w:eastAsia="微软雅黑" w:cs="微软雅黑"/>
                <w:b/>
                <w:bCs/>
                <w:i w:val="0"/>
                <w:iCs w:val="0"/>
                <w:color w:val="333333"/>
                <w:kern w:val="0"/>
                <w:sz w:val="30"/>
                <w:szCs w:val="30"/>
                <w:u w:val="none"/>
                <w:lang w:val="en-US" w:eastAsia="zh-CN" w:bidi="ar"/>
              </w:rPr>
              <w:t>全域智能安全</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GAC高强度安全车身（65%整车高强度钢）</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前排双安全气囊 + 前排侧安全气囊</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窗帘式侧气帘</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驾驶席膝部气囊</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副驾驶席膝部气囊</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博世ESP 9.3车辆电子稳定控制系统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博世HHC上坡辅助系统 + HDC下坡辅助系统</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博世ABS制动防抱死 + TCS牵引力控制 + HBA紧急制动辅助</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博世EBD电子制动力分配 + RMI防侧翻控制</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全方位8探头泊车雷达（前4后4）</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内后视镜自动防眩目功能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EPB电子驻车制动系统（带Auto Hold自动驻车功能）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TPMS直接式智能胎压监测系统（带行车电脑直接显示功能）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前排预紧限力式安全带（带高度可调）</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前排座椅安全带未系灯光提示及声音报警</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ISOFIX儿童安全座椅车身固定装置</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后排车门儿童安全门锁</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发动机防盗锁止系统（带防盗报警功能）</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车体下部保护板</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发动机下部保护板</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5"/>
        <w:rPr>
          <w:rFonts w:hint="eastAsia"/>
          <w:lang w:val="en-US" w:eastAsia="zh-CN"/>
        </w:rPr>
      </w:pPr>
      <w:r>
        <w:rPr>
          <w:rFonts w:hint="eastAsia" w:ascii="宋体" w:hAnsi="宋体" w:cs="仿宋_GB2312"/>
          <w:sz w:val="30"/>
          <w:szCs w:val="30"/>
          <w:lang w:val="en-US" w:eastAsia="zh-CN"/>
        </w:rPr>
        <w:t>2、途睿欧手动精英版</w:t>
      </w:r>
    </w:p>
    <w:tbl>
      <w:tblPr>
        <w:tblStyle w:val="11"/>
        <w:tblW w:w="7860" w:type="dxa"/>
        <w:tblInd w:w="93" w:type="dxa"/>
        <w:shd w:val="clear" w:color="auto" w:fill="auto"/>
        <w:tblLayout w:type="autofit"/>
        <w:tblCellMar>
          <w:top w:w="0" w:type="dxa"/>
          <w:left w:w="108" w:type="dxa"/>
          <w:bottom w:w="0" w:type="dxa"/>
          <w:right w:w="108" w:type="dxa"/>
        </w:tblCellMar>
      </w:tblPr>
      <w:tblGrid>
        <w:gridCol w:w="3951"/>
        <w:gridCol w:w="3909"/>
      </w:tblGrid>
      <w:tr>
        <w:tblPrEx>
          <w:shd w:val="clear" w:color="auto" w:fill="auto"/>
          <w:tblCellMar>
            <w:top w:w="0" w:type="dxa"/>
            <w:left w:w="108" w:type="dxa"/>
            <w:bottom w:w="0" w:type="dxa"/>
            <w:right w:w="108" w:type="dxa"/>
          </w:tblCellMar>
        </w:tblPrEx>
        <w:trPr>
          <w:trHeight w:val="525" w:hRule="atLeast"/>
        </w:trPr>
        <w:tc>
          <w:tcPr>
            <w:tcW w:w="78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福特途睿欧配置表</w:t>
            </w:r>
          </w:p>
        </w:tc>
      </w:tr>
      <w:tr>
        <w:tblPrEx>
          <w:shd w:val="clear" w:color="auto" w:fill="auto"/>
          <w:tblCellMar>
            <w:top w:w="0" w:type="dxa"/>
            <w:left w:w="108" w:type="dxa"/>
            <w:bottom w:w="0" w:type="dxa"/>
            <w:right w:w="108" w:type="dxa"/>
          </w:tblCellMar>
        </w:tblPrEx>
        <w:trPr>
          <w:trHeight w:val="42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A1A1A"/>
                <w:sz w:val="28"/>
                <w:szCs w:val="28"/>
                <w:u w:val="none"/>
              </w:rPr>
            </w:pPr>
            <w:r>
              <w:rPr>
                <w:rFonts w:hint="eastAsia" w:ascii="微软雅黑" w:hAnsi="微软雅黑" w:eastAsia="微软雅黑" w:cs="微软雅黑"/>
                <w:b/>
                <w:bCs/>
                <w:i w:val="0"/>
                <w:iCs w:val="0"/>
                <w:color w:val="1A1A1A"/>
                <w:kern w:val="0"/>
                <w:sz w:val="28"/>
                <w:szCs w:val="28"/>
                <w:u w:val="none"/>
                <w:lang w:val="en-US" w:eastAsia="zh-CN" w:bidi="ar"/>
              </w:rPr>
              <w:t>车型</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手动档 精英版</w:t>
            </w:r>
          </w:p>
        </w:tc>
      </w:tr>
      <w:tr>
        <w:tblPrEx>
          <w:tblCellMar>
            <w:top w:w="0" w:type="dxa"/>
            <w:left w:w="108" w:type="dxa"/>
            <w:bottom w:w="0" w:type="dxa"/>
            <w:right w:w="108" w:type="dxa"/>
          </w:tblCellMar>
        </w:tblPrEx>
        <w:trPr>
          <w:trHeight w:val="25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车身参数</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长*宽*高(mm)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4976*2095*1990</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轴距（mm）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2933</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前轮距(mm)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1736</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后轮距(mm)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1720</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最小离地间隙(mm)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149</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油箱容积(L)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行李厢容积(L)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1360</w:t>
            </w:r>
          </w:p>
        </w:tc>
      </w:tr>
      <w:tr>
        <w:tblPrEx>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动力系统</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发动机型号</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2.0T EcoBoost®  Gas GTDi 汽油直喷涡轮增压发动机</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发动机类型</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涡轮增压、缸内直喷、DVVT、直列四缸、全铝缸盖/缸体、国VI排放标准</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燃油类型</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92号或以上汽油</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排量(ml)</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1997</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最大马力(Ps/rpm)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203/5500</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最大额定功率(kW/rpm)</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149/5500</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最大扭矩(N·m/rpm)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300/3000</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最高车速(km/h)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156km/h</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官方0-100km/h加速(s)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13.7</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工信部综合油耗(L/100km)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9.4</w:t>
            </w:r>
          </w:p>
        </w:tc>
      </w:tr>
      <w:tr>
        <w:tblPrEx>
          <w:shd w:val="clear" w:color="auto" w:fill="auto"/>
          <w:tblCellMar>
            <w:top w:w="0" w:type="dxa"/>
            <w:left w:w="108" w:type="dxa"/>
            <w:bottom w:w="0" w:type="dxa"/>
            <w:right w:w="108" w:type="dxa"/>
          </w:tblCellMar>
        </w:tblPrEx>
        <w:trPr>
          <w:trHeight w:val="33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90km/h等速油耗(L/100km)*</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8.2</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变速箱类型</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5速手动</w:t>
            </w:r>
          </w:p>
        </w:tc>
      </w:tr>
      <w:tr>
        <w:tblPrEx>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底盘系统</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车体结构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承载式</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驱动方式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前置前驱</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前/后悬架类型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麦弗逊式独立悬架/RAS后空气悬架</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助力类型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机械液压助力</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动器类型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四轮盘式制动</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轮毂类型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16寸铝合金轮毂</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轮胎规格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215/65 R16 </w:t>
            </w:r>
          </w:p>
        </w:tc>
      </w:tr>
      <w:tr>
        <w:tblPrEx>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外部配置</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卤素晶钻鹰眼前大灯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大灯高度可调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前雾灯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卤素 尾灯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扰流板带高位刹车灯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双开启防夹电动天窗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人性便利手动双侧移滑门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右侧电动滑移门带防夹保护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两侧电动滑移门带防夹保护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外后视镜电动调节/一体式转向灯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外后视镜加热功能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外后视镜电动折叠功能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蝶翼式间歇前雨刷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后雨刷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豪华精致迎宾踏板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车身镀铬门把手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内部配置</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高级柚木实木地板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真皮材质方向盘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方向盘多功能按键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方向盘手动4向调节功能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定速巡航功能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高级仿皮材质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打孔高级真皮材质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驾驶员座椅10向电动调节功能（含腰托）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驾驶员座椅6向手动调节功能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副驾驶员座椅4向手动调节功能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带logo拉丝金属踏板+脚部氛围灯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第二排4向手动调节座椅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第二排10向电动调节豪华座椅（含腰托）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第二排座椅180°旋转功能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第三排座椅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3座</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第三排座椅椅背调节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第三排座椅放倒方式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比例放倒</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前/后座椅扶手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第二排杯架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后排防紫外线/隔热隐私玻璃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后排侧拉门齐平式推拉窗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乘客舱车窗遮阳帘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遮阳板化妆镜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前门带防夹功能电动车窗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前排车窗一触式升降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多媒体配置</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前/后自动空调系统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前/后空调温度分区控制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后座出风口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多功能行车电脑显示屏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中控台7英寸液晶触摸显示屏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大尺寸顶置电动折叠显示器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黑色高光泽集成控制面板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华为网络电视机顶盒（带手机同屏功能）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GPS导航系统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蓝牙免提车载电话功能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USB+AUX智能多路音源输入系统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高保真6喇叭车载扬声系统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安全装备</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高强度硼钢车身结构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博世9.1 ESP电子车身稳定控制系统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ABS+EBD制动系统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HBA刹车辅助功能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TCS牵引力控制功能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HSA上坡辅助功能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主/副驾驶座安全气囊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前排侧气囊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前排头部气囊(气帘)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前/后驻车雷达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 / 后●</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倒车视频影像功能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自动防眩目内后视镜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第三排儿童座椅ISO FIX固定器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胎压监测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发动机启停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SRC/BMS 电池管理系统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bl>
    <w:p>
      <w:pPr>
        <w:pStyle w:val="5"/>
        <w:numPr>
          <w:ilvl w:val="0"/>
          <w:numId w:val="0"/>
        </w:numPr>
        <w:rPr>
          <w:rFonts w:hint="eastAsia"/>
          <w:lang w:val="en-US" w:eastAsia="zh-CN"/>
        </w:rPr>
      </w:pPr>
    </w:p>
    <w:p>
      <w:pPr>
        <w:spacing w:line="240" w:lineRule="auto"/>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2159"/>
        <w:gridCol w:w="1073"/>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2159" w:type="dxa"/>
            <w:noWrap w:val="0"/>
            <w:vAlign w:val="center"/>
          </w:tcPr>
          <w:p>
            <w:pPr>
              <w:ind w:firstLine="0" w:firstLineChars="0"/>
              <w:jc w:val="center"/>
              <w:rPr>
                <w:sz w:val="30"/>
                <w:szCs w:val="30"/>
              </w:rPr>
            </w:pPr>
            <w:r>
              <w:rPr>
                <w:rFonts w:hint="eastAsia"/>
                <w:sz w:val="30"/>
                <w:szCs w:val="30"/>
              </w:rPr>
              <w:t>品牌型号</w:t>
            </w:r>
          </w:p>
        </w:tc>
        <w:tc>
          <w:tcPr>
            <w:tcW w:w="1073"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越野车</w:t>
            </w:r>
          </w:p>
        </w:tc>
        <w:tc>
          <w:tcPr>
            <w:tcW w:w="2159"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传祺GS8 390T AT 豪华</w:t>
            </w:r>
          </w:p>
        </w:tc>
        <w:tc>
          <w:tcPr>
            <w:tcW w:w="1073"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bookmarkStart w:id="93" w:name="_Toc9834_WPSOffice_Level1"/>
            <w:r>
              <w:rPr>
                <w:rFonts w:hint="eastAsia" w:ascii="宋体" w:hAnsi="宋体" w:eastAsia="宋体" w:cs="宋体"/>
                <w:sz w:val="24"/>
                <w:szCs w:val="24"/>
                <w:lang w:val="en-US" w:eastAsia="zh-CN"/>
              </w:rPr>
              <w:t>2</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商务车</w:t>
            </w:r>
          </w:p>
        </w:tc>
        <w:tc>
          <w:tcPr>
            <w:tcW w:w="2159"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途睿欧手动精英版</w:t>
            </w:r>
          </w:p>
        </w:tc>
        <w:tc>
          <w:tcPr>
            <w:tcW w:w="1073"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5"/>
              <w:jc w:val="center"/>
              <w:rPr>
                <w:rFonts w:hint="default" w:ascii="宋体" w:hAnsi="宋体" w:eastAsia="宋体" w:cs="宋体"/>
                <w:sz w:val="24"/>
                <w:szCs w:val="24"/>
                <w:lang w:val="en-US" w:eastAsia="zh-CN"/>
              </w:rPr>
            </w:pP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p>
        </w:tc>
        <w:tc>
          <w:tcPr>
            <w:tcW w:w="2159"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073" w:type="dxa"/>
            <w:noWrap w:val="0"/>
            <w:vAlign w:val="center"/>
          </w:tcPr>
          <w:p>
            <w:pPr>
              <w:ind w:firstLine="0" w:firstLineChars="0"/>
              <w:jc w:val="center"/>
              <w:rPr>
                <w:rFonts w:hint="eastAsia" w:ascii="宋体" w:hAnsi="宋体" w:eastAsia="宋体" w:cs="宋体"/>
                <w:sz w:val="24"/>
                <w:szCs w:val="24"/>
                <w:lang w:eastAsia="zh-CN"/>
              </w:rPr>
            </w:pPr>
          </w:p>
        </w:tc>
        <w:tc>
          <w:tcPr>
            <w:tcW w:w="966" w:type="dxa"/>
            <w:noWrap w:val="0"/>
            <w:vAlign w:val="center"/>
          </w:tcPr>
          <w:p>
            <w:pPr>
              <w:ind w:firstLine="0" w:firstLineChars="0"/>
              <w:jc w:val="center"/>
              <w:rPr>
                <w:rFonts w:hint="default" w:ascii="宋体" w:hAnsi="宋体" w:eastAsia="宋体" w:cs="宋体"/>
                <w:sz w:val="24"/>
                <w:szCs w:val="24"/>
                <w:lang w:val="en-US"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5"/>
              <w:jc w:val="center"/>
              <w:rPr>
                <w:rFonts w:hint="default" w:ascii="宋体" w:hAnsi="宋体" w:eastAsia="宋体" w:cs="宋体"/>
                <w:sz w:val="24"/>
                <w:szCs w:val="24"/>
                <w:lang w:val="en-US" w:eastAsia="zh-CN"/>
              </w:rPr>
            </w:pP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1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3" w:type="dxa"/>
            <w:noWrap w:val="0"/>
            <w:vAlign w:val="center"/>
          </w:tcPr>
          <w:p>
            <w:pPr>
              <w:ind w:firstLine="0" w:firstLineChars="0"/>
              <w:jc w:val="center"/>
              <w:rPr>
                <w:rFonts w:hint="eastAsia" w:ascii="宋体" w:hAnsi="宋体" w:eastAsia="宋体" w:cs="宋体"/>
                <w:sz w:val="24"/>
                <w:szCs w:val="24"/>
                <w:lang w:eastAsia="zh-CN"/>
              </w:rPr>
            </w:pPr>
          </w:p>
        </w:tc>
        <w:tc>
          <w:tcPr>
            <w:tcW w:w="966" w:type="dxa"/>
            <w:noWrap w:val="0"/>
            <w:vAlign w:val="center"/>
          </w:tcPr>
          <w:p>
            <w:pPr>
              <w:ind w:firstLine="0" w:firstLineChars="0"/>
              <w:jc w:val="center"/>
              <w:rPr>
                <w:rFonts w:hint="default" w:ascii="宋体" w:hAnsi="宋体" w:eastAsia="宋体" w:cs="宋体"/>
                <w:sz w:val="24"/>
                <w:szCs w:val="24"/>
                <w:lang w:val="en-US"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17394_WPSOffice_Level1"/>
      <w:bookmarkStart w:id="95" w:name="_Toc1914_WPSOffice_Level1"/>
      <w:bookmarkStart w:id="96" w:name="_Toc27552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11424_WPSOffice_Level1"/>
      <w:bookmarkStart w:id="106" w:name="_Toc30529_WPSOffice_Level1"/>
      <w:bookmarkStart w:id="107" w:name="_Toc6353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5317_WPSOffice_Level1"/>
      <w:bookmarkStart w:id="110" w:name="_Toc31927_WPSOffice_Level1"/>
      <w:bookmarkStart w:id="111" w:name="_Toc21229_WPSOffice_Level1"/>
      <w:bookmarkStart w:id="112" w:name="_Toc32729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23744_WPSOffice_Level1"/>
      <w:bookmarkStart w:id="118" w:name="_Toc10608_WPSOffice_Level1"/>
      <w:bookmarkStart w:id="119" w:name="_Toc7453_WPSOffice_Level1"/>
      <w:bookmarkStart w:id="120"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9006_WPSOffice_Level1"/>
      <w:bookmarkStart w:id="123" w:name="_Toc1578_WPSOffice_Level1"/>
      <w:bookmarkStart w:id="124" w:name="_Toc2375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687_WPSOffice_Level1"/>
      <w:bookmarkStart w:id="130" w:name="_Toc18312_WPSOffice_Level1"/>
      <w:bookmarkStart w:id="131" w:name="_Toc30031_WPSOffice_Level1"/>
      <w:bookmarkStart w:id="132" w:name="_Toc2765_WPSOffice_Level1"/>
      <w:bookmarkStart w:id="133" w:name="_Toc29399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4563_WPSOffice_Level1"/>
      <w:bookmarkStart w:id="136" w:name="_Toc12530_WPSOffice_Level1"/>
      <w:bookmarkStart w:id="137" w:name="_Toc8695_WPSOffice_Level1"/>
      <w:bookmarkStart w:id="138" w:name="_Toc32350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9004_WPSOffice_Level1"/>
      <w:bookmarkStart w:id="156" w:name="_Toc3772_WPSOffice_Level1"/>
      <w:bookmarkStart w:id="157" w:name="_Toc18547_WPSOffice_Level1"/>
      <w:bookmarkStart w:id="158" w:name="_Toc1452_WPSOffice_Level1"/>
      <w:bookmarkStart w:id="159"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9267_WPSOffice_Level1"/>
      <w:bookmarkStart w:id="161" w:name="_Toc5403_WPSOffice_Level1"/>
      <w:bookmarkStart w:id="162" w:name="_Toc12019_WPSOffice_Level1"/>
      <w:bookmarkStart w:id="163" w:name="_Toc3893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9130D0"/>
    <w:rsid w:val="00BA1CAE"/>
    <w:rsid w:val="00D60F2E"/>
    <w:rsid w:val="00EB2C48"/>
    <w:rsid w:val="00F56741"/>
    <w:rsid w:val="01261938"/>
    <w:rsid w:val="01262A16"/>
    <w:rsid w:val="01516AAC"/>
    <w:rsid w:val="016467FF"/>
    <w:rsid w:val="016F3AE4"/>
    <w:rsid w:val="01855CAC"/>
    <w:rsid w:val="01D26FB5"/>
    <w:rsid w:val="01D8197B"/>
    <w:rsid w:val="01FD7A87"/>
    <w:rsid w:val="024946D1"/>
    <w:rsid w:val="0250686A"/>
    <w:rsid w:val="028275B1"/>
    <w:rsid w:val="02B7452C"/>
    <w:rsid w:val="02D65DED"/>
    <w:rsid w:val="02E96424"/>
    <w:rsid w:val="02F44385"/>
    <w:rsid w:val="03380757"/>
    <w:rsid w:val="033E575A"/>
    <w:rsid w:val="038226D6"/>
    <w:rsid w:val="03B141EB"/>
    <w:rsid w:val="03C834BA"/>
    <w:rsid w:val="03CF1E15"/>
    <w:rsid w:val="03DF68F4"/>
    <w:rsid w:val="03ED0A2F"/>
    <w:rsid w:val="04211E08"/>
    <w:rsid w:val="04457667"/>
    <w:rsid w:val="04494E3A"/>
    <w:rsid w:val="045A4B7B"/>
    <w:rsid w:val="04642508"/>
    <w:rsid w:val="047A7331"/>
    <w:rsid w:val="04A248E7"/>
    <w:rsid w:val="052B12A4"/>
    <w:rsid w:val="05435747"/>
    <w:rsid w:val="057D77E1"/>
    <w:rsid w:val="05AE7642"/>
    <w:rsid w:val="05CB4EDA"/>
    <w:rsid w:val="06233674"/>
    <w:rsid w:val="064F44F5"/>
    <w:rsid w:val="06750697"/>
    <w:rsid w:val="076F25A8"/>
    <w:rsid w:val="07A10C59"/>
    <w:rsid w:val="07E23ADF"/>
    <w:rsid w:val="08315767"/>
    <w:rsid w:val="087E3A40"/>
    <w:rsid w:val="08AC6280"/>
    <w:rsid w:val="08D840D9"/>
    <w:rsid w:val="090B1608"/>
    <w:rsid w:val="092D5CEC"/>
    <w:rsid w:val="09501EDA"/>
    <w:rsid w:val="0973495D"/>
    <w:rsid w:val="09A07033"/>
    <w:rsid w:val="09A35E85"/>
    <w:rsid w:val="0A132DA4"/>
    <w:rsid w:val="0A223565"/>
    <w:rsid w:val="0A3641B0"/>
    <w:rsid w:val="0A3769B7"/>
    <w:rsid w:val="0A6564B9"/>
    <w:rsid w:val="0AA52BD3"/>
    <w:rsid w:val="0B80123A"/>
    <w:rsid w:val="0B8C0B40"/>
    <w:rsid w:val="0BE53DBD"/>
    <w:rsid w:val="0BE74120"/>
    <w:rsid w:val="0BED5FBE"/>
    <w:rsid w:val="0C0263B2"/>
    <w:rsid w:val="0C210E8A"/>
    <w:rsid w:val="0C2D25CC"/>
    <w:rsid w:val="0C3A6DCE"/>
    <w:rsid w:val="0C471C14"/>
    <w:rsid w:val="0C932008"/>
    <w:rsid w:val="0C954935"/>
    <w:rsid w:val="0CEE2538"/>
    <w:rsid w:val="0D421699"/>
    <w:rsid w:val="0D491784"/>
    <w:rsid w:val="0DE55C13"/>
    <w:rsid w:val="0E353D12"/>
    <w:rsid w:val="0E3C6E1E"/>
    <w:rsid w:val="0EC101C2"/>
    <w:rsid w:val="0EC70BFA"/>
    <w:rsid w:val="0EF55437"/>
    <w:rsid w:val="0F56600C"/>
    <w:rsid w:val="0FDE4E7E"/>
    <w:rsid w:val="10047D3E"/>
    <w:rsid w:val="1015385D"/>
    <w:rsid w:val="1055158F"/>
    <w:rsid w:val="107348E1"/>
    <w:rsid w:val="107B36EC"/>
    <w:rsid w:val="10C56148"/>
    <w:rsid w:val="11076A24"/>
    <w:rsid w:val="11215B9D"/>
    <w:rsid w:val="112B09BB"/>
    <w:rsid w:val="119B7A2E"/>
    <w:rsid w:val="119D73DC"/>
    <w:rsid w:val="119E13B5"/>
    <w:rsid w:val="11B93700"/>
    <w:rsid w:val="11CD0AF7"/>
    <w:rsid w:val="11F4632B"/>
    <w:rsid w:val="12243423"/>
    <w:rsid w:val="12371F81"/>
    <w:rsid w:val="1237641B"/>
    <w:rsid w:val="12411CF0"/>
    <w:rsid w:val="12752E29"/>
    <w:rsid w:val="12845883"/>
    <w:rsid w:val="12857018"/>
    <w:rsid w:val="129B7928"/>
    <w:rsid w:val="12EF29CB"/>
    <w:rsid w:val="1301017A"/>
    <w:rsid w:val="133036AC"/>
    <w:rsid w:val="135449DC"/>
    <w:rsid w:val="13EB2E20"/>
    <w:rsid w:val="13EE17CA"/>
    <w:rsid w:val="13F727DE"/>
    <w:rsid w:val="143E047A"/>
    <w:rsid w:val="146A70C1"/>
    <w:rsid w:val="1498179F"/>
    <w:rsid w:val="14BA42FD"/>
    <w:rsid w:val="14F50F73"/>
    <w:rsid w:val="150A1554"/>
    <w:rsid w:val="152C615E"/>
    <w:rsid w:val="153122C9"/>
    <w:rsid w:val="154F540A"/>
    <w:rsid w:val="156752D2"/>
    <w:rsid w:val="15C36A4E"/>
    <w:rsid w:val="15F55102"/>
    <w:rsid w:val="16057AB2"/>
    <w:rsid w:val="16576E90"/>
    <w:rsid w:val="16664275"/>
    <w:rsid w:val="173B67EB"/>
    <w:rsid w:val="17555AF7"/>
    <w:rsid w:val="17606543"/>
    <w:rsid w:val="1771268E"/>
    <w:rsid w:val="1781794F"/>
    <w:rsid w:val="17F9165D"/>
    <w:rsid w:val="181C5AFE"/>
    <w:rsid w:val="18262EDC"/>
    <w:rsid w:val="183F653D"/>
    <w:rsid w:val="18555ABF"/>
    <w:rsid w:val="1943613C"/>
    <w:rsid w:val="199C3B12"/>
    <w:rsid w:val="199F4D38"/>
    <w:rsid w:val="19B34DB1"/>
    <w:rsid w:val="19CC7A79"/>
    <w:rsid w:val="19DD457B"/>
    <w:rsid w:val="19FD2538"/>
    <w:rsid w:val="1B0F6446"/>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6A0A81"/>
    <w:rsid w:val="1DCA0187"/>
    <w:rsid w:val="1DEE3EE6"/>
    <w:rsid w:val="1DEF15E5"/>
    <w:rsid w:val="1EB01493"/>
    <w:rsid w:val="1EB45B84"/>
    <w:rsid w:val="1ED566BF"/>
    <w:rsid w:val="1F0079C8"/>
    <w:rsid w:val="1F1F765A"/>
    <w:rsid w:val="1F8841C9"/>
    <w:rsid w:val="1F942DC6"/>
    <w:rsid w:val="1F9F7B9A"/>
    <w:rsid w:val="1FC830F6"/>
    <w:rsid w:val="1FFF49B3"/>
    <w:rsid w:val="200A49DA"/>
    <w:rsid w:val="2010615E"/>
    <w:rsid w:val="202E73DC"/>
    <w:rsid w:val="20350D4E"/>
    <w:rsid w:val="205B3A40"/>
    <w:rsid w:val="209A4709"/>
    <w:rsid w:val="20A32AD4"/>
    <w:rsid w:val="20C14537"/>
    <w:rsid w:val="20D03B7B"/>
    <w:rsid w:val="21225095"/>
    <w:rsid w:val="21303DB9"/>
    <w:rsid w:val="217F414A"/>
    <w:rsid w:val="21957A4E"/>
    <w:rsid w:val="21D11C50"/>
    <w:rsid w:val="21FC1CC5"/>
    <w:rsid w:val="220F22ED"/>
    <w:rsid w:val="22290B71"/>
    <w:rsid w:val="228C37EE"/>
    <w:rsid w:val="228C6100"/>
    <w:rsid w:val="22A75A54"/>
    <w:rsid w:val="22AF24B4"/>
    <w:rsid w:val="22C75FB3"/>
    <w:rsid w:val="23202A87"/>
    <w:rsid w:val="23291D55"/>
    <w:rsid w:val="23331629"/>
    <w:rsid w:val="23533555"/>
    <w:rsid w:val="235C166E"/>
    <w:rsid w:val="23B03575"/>
    <w:rsid w:val="23B5629D"/>
    <w:rsid w:val="23C26E54"/>
    <w:rsid w:val="23F25D22"/>
    <w:rsid w:val="24202C55"/>
    <w:rsid w:val="244637AD"/>
    <w:rsid w:val="249A29C0"/>
    <w:rsid w:val="24C22F3D"/>
    <w:rsid w:val="24C74E0F"/>
    <w:rsid w:val="24CC38EA"/>
    <w:rsid w:val="24EA1E5C"/>
    <w:rsid w:val="2507530A"/>
    <w:rsid w:val="252C2973"/>
    <w:rsid w:val="2537405D"/>
    <w:rsid w:val="25374EF4"/>
    <w:rsid w:val="25AF4E68"/>
    <w:rsid w:val="25D12068"/>
    <w:rsid w:val="25D376ED"/>
    <w:rsid w:val="262D3499"/>
    <w:rsid w:val="26505959"/>
    <w:rsid w:val="267D6C16"/>
    <w:rsid w:val="26915AB0"/>
    <w:rsid w:val="26AC54AE"/>
    <w:rsid w:val="26AE35E3"/>
    <w:rsid w:val="26CC5821"/>
    <w:rsid w:val="270A6B81"/>
    <w:rsid w:val="27224050"/>
    <w:rsid w:val="27544F2C"/>
    <w:rsid w:val="27573233"/>
    <w:rsid w:val="276F5392"/>
    <w:rsid w:val="276F78A4"/>
    <w:rsid w:val="27A22B9A"/>
    <w:rsid w:val="27E17707"/>
    <w:rsid w:val="2832016E"/>
    <w:rsid w:val="28332E82"/>
    <w:rsid w:val="28945AD5"/>
    <w:rsid w:val="28CB2405"/>
    <w:rsid w:val="28E4564A"/>
    <w:rsid w:val="28FD4C25"/>
    <w:rsid w:val="298E4667"/>
    <w:rsid w:val="29AC15DA"/>
    <w:rsid w:val="2A1D6B49"/>
    <w:rsid w:val="2A9758C1"/>
    <w:rsid w:val="2AA2330A"/>
    <w:rsid w:val="2AA86D0F"/>
    <w:rsid w:val="2AB036B9"/>
    <w:rsid w:val="2AC0255C"/>
    <w:rsid w:val="2ACA3C75"/>
    <w:rsid w:val="2B0272F2"/>
    <w:rsid w:val="2B1C6134"/>
    <w:rsid w:val="2B547EAB"/>
    <w:rsid w:val="2B752198"/>
    <w:rsid w:val="2C74409C"/>
    <w:rsid w:val="2C78559C"/>
    <w:rsid w:val="2CCB157B"/>
    <w:rsid w:val="2D044DD1"/>
    <w:rsid w:val="2D1C78E5"/>
    <w:rsid w:val="2D4633AE"/>
    <w:rsid w:val="2D491475"/>
    <w:rsid w:val="2D5E7110"/>
    <w:rsid w:val="2D6B78B2"/>
    <w:rsid w:val="2D702015"/>
    <w:rsid w:val="2D853AD8"/>
    <w:rsid w:val="2D8B655F"/>
    <w:rsid w:val="2DA41677"/>
    <w:rsid w:val="2E047F28"/>
    <w:rsid w:val="2E452391"/>
    <w:rsid w:val="2E5113E2"/>
    <w:rsid w:val="2E704C0F"/>
    <w:rsid w:val="2E821BE2"/>
    <w:rsid w:val="2EA91D25"/>
    <w:rsid w:val="2EB44765"/>
    <w:rsid w:val="2EBF392D"/>
    <w:rsid w:val="2F1C5807"/>
    <w:rsid w:val="2F21432D"/>
    <w:rsid w:val="2F7E56E8"/>
    <w:rsid w:val="2F8D4F86"/>
    <w:rsid w:val="300C6F30"/>
    <w:rsid w:val="303B074A"/>
    <w:rsid w:val="303D10B7"/>
    <w:rsid w:val="307716A4"/>
    <w:rsid w:val="309D35EF"/>
    <w:rsid w:val="30B66302"/>
    <w:rsid w:val="30B751B3"/>
    <w:rsid w:val="30EF615D"/>
    <w:rsid w:val="31393383"/>
    <w:rsid w:val="31B10180"/>
    <w:rsid w:val="31CB160E"/>
    <w:rsid w:val="31DC0B3C"/>
    <w:rsid w:val="31DC7938"/>
    <w:rsid w:val="32232959"/>
    <w:rsid w:val="322C733D"/>
    <w:rsid w:val="323B5665"/>
    <w:rsid w:val="323D1E9E"/>
    <w:rsid w:val="32472149"/>
    <w:rsid w:val="32A15D40"/>
    <w:rsid w:val="32D33D11"/>
    <w:rsid w:val="32E2300A"/>
    <w:rsid w:val="33035B90"/>
    <w:rsid w:val="3356659E"/>
    <w:rsid w:val="33A5118B"/>
    <w:rsid w:val="33A67436"/>
    <w:rsid w:val="33FF7757"/>
    <w:rsid w:val="345D7407"/>
    <w:rsid w:val="346C40F4"/>
    <w:rsid w:val="347809F2"/>
    <w:rsid w:val="34826A34"/>
    <w:rsid w:val="34CD11F9"/>
    <w:rsid w:val="35091493"/>
    <w:rsid w:val="357F680D"/>
    <w:rsid w:val="35841069"/>
    <w:rsid w:val="35C87EEC"/>
    <w:rsid w:val="36351036"/>
    <w:rsid w:val="366828AD"/>
    <w:rsid w:val="368558B3"/>
    <w:rsid w:val="36876E6A"/>
    <w:rsid w:val="36980DD0"/>
    <w:rsid w:val="36C0156D"/>
    <w:rsid w:val="36CF4BC1"/>
    <w:rsid w:val="371B6C62"/>
    <w:rsid w:val="372D6CF1"/>
    <w:rsid w:val="377A75FB"/>
    <w:rsid w:val="379940D4"/>
    <w:rsid w:val="37E57834"/>
    <w:rsid w:val="382A0CE5"/>
    <w:rsid w:val="383261D0"/>
    <w:rsid w:val="385D1023"/>
    <w:rsid w:val="38646884"/>
    <w:rsid w:val="38910860"/>
    <w:rsid w:val="38973052"/>
    <w:rsid w:val="38BA0741"/>
    <w:rsid w:val="38C64F92"/>
    <w:rsid w:val="38E005FB"/>
    <w:rsid w:val="39151E6D"/>
    <w:rsid w:val="39266477"/>
    <w:rsid w:val="39655B7A"/>
    <w:rsid w:val="398F73DC"/>
    <w:rsid w:val="39C01BBA"/>
    <w:rsid w:val="3A085BAA"/>
    <w:rsid w:val="3A2C2104"/>
    <w:rsid w:val="3AB3450A"/>
    <w:rsid w:val="3AB7388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B644C5"/>
    <w:rsid w:val="3DC64303"/>
    <w:rsid w:val="3DFD18E3"/>
    <w:rsid w:val="3E234CC4"/>
    <w:rsid w:val="3E56477C"/>
    <w:rsid w:val="3ECD7713"/>
    <w:rsid w:val="3ECE2C18"/>
    <w:rsid w:val="3EDF33BB"/>
    <w:rsid w:val="3EF003A8"/>
    <w:rsid w:val="3EF3475E"/>
    <w:rsid w:val="3F413CC5"/>
    <w:rsid w:val="3F5F4471"/>
    <w:rsid w:val="3F993EC6"/>
    <w:rsid w:val="3FAA1ACA"/>
    <w:rsid w:val="3FFF04B0"/>
    <w:rsid w:val="401A5EF0"/>
    <w:rsid w:val="405F54C4"/>
    <w:rsid w:val="40891574"/>
    <w:rsid w:val="408E1FCA"/>
    <w:rsid w:val="40B5317E"/>
    <w:rsid w:val="40FD44FE"/>
    <w:rsid w:val="410D54FF"/>
    <w:rsid w:val="414810A7"/>
    <w:rsid w:val="4173688E"/>
    <w:rsid w:val="417807D9"/>
    <w:rsid w:val="418D27F5"/>
    <w:rsid w:val="4196330C"/>
    <w:rsid w:val="41AC141A"/>
    <w:rsid w:val="41EB3A9E"/>
    <w:rsid w:val="42002BF2"/>
    <w:rsid w:val="421C1817"/>
    <w:rsid w:val="422229E2"/>
    <w:rsid w:val="42C45FF8"/>
    <w:rsid w:val="42CA1067"/>
    <w:rsid w:val="42E63A7F"/>
    <w:rsid w:val="43117778"/>
    <w:rsid w:val="431C55A9"/>
    <w:rsid w:val="43541CB0"/>
    <w:rsid w:val="43C3015A"/>
    <w:rsid w:val="43C646E2"/>
    <w:rsid w:val="43E04637"/>
    <w:rsid w:val="43FA55C2"/>
    <w:rsid w:val="44190C7C"/>
    <w:rsid w:val="444157D5"/>
    <w:rsid w:val="44951CA9"/>
    <w:rsid w:val="44A5291F"/>
    <w:rsid w:val="45093F8F"/>
    <w:rsid w:val="451D5F36"/>
    <w:rsid w:val="45341E5B"/>
    <w:rsid w:val="454A41A9"/>
    <w:rsid w:val="454F1443"/>
    <w:rsid w:val="456B64DA"/>
    <w:rsid w:val="45A61A3F"/>
    <w:rsid w:val="45E2131C"/>
    <w:rsid w:val="46160757"/>
    <w:rsid w:val="46511F57"/>
    <w:rsid w:val="465C2B7E"/>
    <w:rsid w:val="465E5E2D"/>
    <w:rsid w:val="466678D8"/>
    <w:rsid w:val="46681CC5"/>
    <w:rsid w:val="46722845"/>
    <w:rsid w:val="46854413"/>
    <w:rsid w:val="46AA3BAF"/>
    <w:rsid w:val="46CA2A30"/>
    <w:rsid w:val="46E55EA9"/>
    <w:rsid w:val="46E903F6"/>
    <w:rsid w:val="4702061D"/>
    <w:rsid w:val="471A08BE"/>
    <w:rsid w:val="473B610C"/>
    <w:rsid w:val="47407861"/>
    <w:rsid w:val="4791799F"/>
    <w:rsid w:val="483010A5"/>
    <w:rsid w:val="48550397"/>
    <w:rsid w:val="488A3975"/>
    <w:rsid w:val="48D51D8B"/>
    <w:rsid w:val="494D3655"/>
    <w:rsid w:val="4977131A"/>
    <w:rsid w:val="49DD0F1D"/>
    <w:rsid w:val="49E20D34"/>
    <w:rsid w:val="4A02212D"/>
    <w:rsid w:val="4A1A4DC2"/>
    <w:rsid w:val="4A38409F"/>
    <w:rsid w:val="4A6E2D05"/>
    <w:rsid w:val="4A71640B"/>
    <w:rsid w:val="4A937223"/>
    <w:rsid w:val="4AC54B94"/>
    <w:rsid w:val="4B0938BE"/>
    <w:rsid w:val="4B4E0FC1"/>
    <w:rsid w:val="4B8143F2"/>
    <w:rsid w:val="4B9565DB"/>
    <w:rsid w:val="4BBB3EF9"/>
    <w:rsid w:val="4BC624A8"/>
    <w:rsid w:val="4CDC10F5"/>
    <w:rsid w:val="4CE67327"/>
    <w:rsid w:val="4CEB61EE"/>
    <w:rsid w:val="4CED5E2D"/>
    <w:rsid w:val="4D4B4FC8"/>
    <w:rsid w:val="4D506F55"/>
    <w:rsid w:val="4D5E1FDB"/>
    <w:rsid w:val="4D640D09"/>
    <w:rsid w:val="4D6C0912"/>
    <w:rsid w:val="4D934E46"/>
    <w:rsid w:val="4D9D220A"/>
    <w:rsid w:val="4DAB5909"/>
    <w:rsid w:val="4DCD56A8"/>
    <w:rsid w:val="4DF243BC"/>
    <w:rsid w:val="4E0B01FE"/>
    <w:rsid w:val="4E4E3891"/>
    <w:rsid w:val="4E9D1C1C"/>
    <w:rsid w:val="4EAF1CC4"/>
    <w:rsid w:val="4EEF6771"/>
    <w:rsid w:val="4F1C0D87"/>
    <w:rsid w:val="4F3772ED"/>
    <w:rsid w:val="4F444103"/>
    <w:rsid w:val="4F4B5944"/>
    <w:rsid w:val="4FBD2661"/>
    <w:rsid w:val="5039019E"/>
    <w:rsid w:val="50527900"/>
    <w:rsid w:val="5065178E"/>
    <w:rsid w:val="50695D0B"/>
    <w:rsid w:val="512B60B4"/>
    <w:rsid w:val="513118E7"/>
    <w:rsid w:val="51694722"/>
    <w:rsid w:val="51C621E0"/>
    <w:rsid w:val="51D05EF0"/>
    <w:rsid w:val="51F6040A"/>
    <w:rsid w:val="52A9097C"/>
    <w:rsid w:val="52B54EDC"/>
    <w:rsid w:val="52BB5061"/>
    <w:rsid w:val="52C939F0"/>
    <w:rsid w:val="52EC44CE"/>
    <w:rsid w:val="533539DF"/>
    <w:rsid w:val="53653F46"/>
    <w:rsid w:val="5392540C"/>
    <w:rsid w:val="53B3034F"/>
    <w:rsid w:val="540A11ED"/>
    <w:rsid w:val="54442A7B"/>
    <w:rsid w:val="54990450"/>
    <w:rsid w:val="54E43FB4"/>
    <w:rsid w:val="5558452D"/>
    <w:rsid w:val="55AA7B8D"/>
    <w:rsid w:val="55B607A1"/>
    <w:rsid w:val="55C477FF"/>
    <w:rsid w:val="55F92F01"/>
    <w:rsid w:val="562927CE"/>
    <w:rsid w:val="56D51695"/>
    <w:rsid w:val="56E01E7C"/>
    <w:rsid w:val="56FF2C87"/>
    <w:rsid w:val="57083261"/>
    <w:rsid w:val="576725D2"/>
    <w:rsid w:val="57735468"/>
    <w:rsid w:val="57AC473C"/>
    <w:rsid w:val="58033794"/>
    <w:rsid w:val="58212766"/>
    <w:rsid w:val="583B5BED"/>
    <w:rsid w:val="584B2C50"/>
    <w:rsid w:val="58575B08"/>
    <w:rsid w:val="59020C98"/>
    <w:rsid w:val="59A76356"/>
    <w:rsid w:val="59F519D4"/>
    <w:rsid w:val="5A050A6E"/>
    <w:rsid w:val="5A9A1081"/>
    <w:rsid w:val="5ABD6DE3"/>
    <w:rsid w:val="5ABE4B4A"/>
    <w:rsid w:val="5AC7420B"/>
    <w:rsid w:val="5B1001B5"/>
    <w:rsid w:val="5B505F2C"/>
    <w:rsid w:val="5B520346"/>
    <w:rsid w:val="5B53605F"/>
    <w:rsid w:val="5B811F6C"/>
    <w:rsid w:val="5B966550"/>
    <w:rsid w:val="5BCF6F3C"/>
    <w:rsid w:val="5BD55463"/>
    <w:rsid w:val="5BD64EC0"/>
    <w:rsid w:val="5C7E0D7E"/>
    <w:rsid w:val="5CC6567E"/>
    <w:rsid w:val="5CD77A98"/>
    <w:rsid w:val="5CE44D90"/>
    <w:rsid w:val="5CF47502"/>
    <w:rsid w:val="5D291F54"/>
    <w:rsid w:val="5D3E0BA9"/>
    <w:rsid w:val="5DCF2540"/>
    <w:rsid w:val="5DDE0A36"/>
    <w:rsid w:val="5DE9733D"/>
    <w:rsid w:val="5DED6180"/>
    <w:rsid w:val="5E02670B"/>
    <w:rsid w:val="5E08794E"/>
    <w:rsid w:val="5E3704F6"/>
    <w:rsid w:val="5E85744A"/>
    <w:rsid w:val="5E9D79FE"/>
    <w:rsid w:val="5F341672"/>
    <w:rsid w:val="5FEB2D87"/>
    <w:rsid w:val="5FF92694"/>
    <w:rsid w:val="60094922"/>
    <w:rsid w:val="600E1AEF"/>
    <w:rsid w:val="60247FFD"/>
    <w:rsid w:val="602F511B"/>
    <w:rsid w:val="604A5077"/>
    <w:rsid w:val="605F2621"/>
    <w:rsid w:val="60A14466"/>
    <w:rsid w:val="60AF1518"/>
    <w:rsid w:val="60E42733"/>
    <w:rsid w:val="6107582C"/>
    <w:rsid w:val="617C7F2C"/>
    <w:rsid w:val="61D740F7"/>
    <w:rsid w:val="6228683D"/>
    <w:rsid w:val="62756CE9"/>
    <w:rsid w:val="6294722E"/>
    <w:rsid w:val="62B660C6"/>
    <w:rsid w:val="62E56056"/>
    <w:rsid w:val="62FE3F08"/>
    <w:rsid w:val="63023C14"/>
    <w:rsid w:val="63295801"/>
    <w:rsid w:val="63776804"/>
    <w:rsid w:val="638B6757"/>
    <w:rsid w:val="639E2905"/>
    <w:rsid w:val="63FF46D7"/>
    <w:rsid w:val="642F4426"/>
    <w:rsid w:val="64381701"/>
    <w:rsid w:val="644940AB"/>
    <w:rsid w:val="64BD6E2A"/>
    <w:rsid w:val="64C67E05"/>
    <w:rsid w:val="64CF0127"/>
    <w:rsid w:val="64DA2E60"/>
    <w:rsid w:val="65047D30"/>
    <w:rsid w:val="65283AF6"/>
    <w:rsid w:val="65440D8C"/>
    <w:rsid w:val="65656A70"/>
    <w:rsid w:val="658D79B1"/>
    <w:rsid w:val="65E06B45"/>
    <w:rsid w:val="664E5351"/>
    <w:rsid w:val="66503496"/>
    <w:rsid w:val="66595BE2"/>
    <w:rsid w:val="668B6FEC"/>
    <w:rsid w:val="66AE3981"/>
    <w:rsid w:val="66ED6329"/>
    <w:rsid w:val="6721791E"/>
    <w:rsid w:val="67271ECB"/>
    <w:rsid w:val="6777089F"/>
    <w:rsid w:val="67C76B90"/>
    <w:rsid w:val="6817492F"/>
    <w:rsid w:val="68733E51"/>
    <w:rsid w:val="68920D3E"/>
    <w:rsid w:val="68A33F3C"/>
    <w:rsid w:val="68BA4B9D"/>
    <w:rsid w:val="68D12A13"/>
    <w:rsid w:val="68E44CD3"/>
    <w:rsid w:val="6923160C"/>
    <w:rsid w:val="692F3612"/>
    <w:rsid w:val="692F4C62"/>
    <w:rsid w:val="69692F41"/>
    <w:rsid w:val="698A554F"/>
    <w:rsid w:val="699A4896"/>
    <w:rsid w:val="69B43BB5"/>
    <w:rsid w:val="69EB2EF3"/>
    <w:rsid w:val="6A09181B"/>
    <w:rsid w:val="6A3B678C"/>
    <w:rsid w:val="6A4C25E5"/>
    <w:rsid w:val="6A515F00"/>
    <w:rsid w:val="6A7A34D3"/>
    <w:rsid w:val="6AA0506A"/>
    <w:rsid w:val="6ADD5CBB"/>
    <w:rsid w:val="6AF15144"/>
    <w:rsid w:val="6B5A7CCF"/>
    <w:rsid w:val="6B804D34"/>
    <w:rsid w:val="6B922CD6"/>
    <w:rsid w:val="6B9532DD"/>
    <w:rsid w:val="6B9C79D2"/>
    <w:rsid w:val="6BBA19E4"/>
    <w:rsid w:val="6BDA6111"/>
    <w:rsid w:val="6C0356D1"/>
    <w:rsid w:val="6C7F32C4"/>
    <w:rsid w:val="6CD965DD"/>
    <w:rsid w:val="6CE564FB"/>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80A74"/>
    <w:rsid w:val="6F5959E9"/>
    <w:rsid w:val="6F7D4D72"/>
    <w:rsid w:val="6F7E1F74"/>
    <w:rsid w:val="6F9B47D1"/>
    <w:rsid w:val="6FB12692"/>
    <w:rsid w:val="6FBF6389"/>
    <w:rsid w:val="6FC753E3"/>
    <w:rsid w:val="70CC3C5C"/>
    <w:rsid w:val="70E66DDE"/>
    <w:rsid w:val="710D33C2"/>
    <w:rsid w:val="717C7F55"/>
    <w:rsid w:val="71E53DA7"/>
    <w:rsid w:val="71F83650"/>
    <w:rsid w:val="729C5D0C"/>
    <w:rsid w:val="72B33B48"/>
    <w:rsid w:val="72BD6B75"/>
    <w:rsid w:val="73253CEE"/>
    <w:rsid w:val="73B65107"/>
    <w:rsid w:val="73CD1828"/>
    <w:rsid w:val="73E9784B"/>
    <w:rsid w:val="73F0718E"/>
    <w:rsid w:val="74070CA0"/>
    <w:rsid w:val="7481099D"/>
    <w:rsid w:val="748E118B"/>
    <w:rsid w:val="74B57A32"/>
    <w:rsid w:val="74D64864"/>
    <w:rsid w:val="74E16D8B"/>
    <w:rsid w:val="75151909"/>
    <w:rsid w:val="751C632F"/>
    <w:rsid w:val="75366D02"/>
    <w:rsid w:val="75871A0B"/>
    <w:rsid w:val="75991092"/>
    <w:rsid w:val="759B5E27"/>
    <w:rsid w:val="75A572D1"/>
    <w:rsid w:val="761335AB"/>
    <w:rsid w:val="76373B59"/>
    <w:rsid w:val="765B6B67"/>
    <w:rsid w:val="765F6F55"/>
    <w:rsid w:val="769578ED"/>
    <w:rsid w:val="769B5423"/>
    <w:rsid w:val="76B356B1"/>
    <w:rsid w:val="76D600D5"/>
    <w:rsid w:val="76E04FCA"/>
    <w:rsid w:val="774D70B5"/>
    <w:rsid w:val="77711DFB"/>
    <w:rsid w:val="77791211"/>
    <w:rsid w:val="77A870F8"/>
    <w:rsid w:val="77C853D2"/>
    <w:rsid w:val="77CB6284"/>
    <w:rsid w:val="77D9063B"/>
    <w:rsid w:val="77EB0093"/>
    <w:rsid w:val="78474B5C"/>
    <w:rsid w:val="78FC7191"/>
    <w:rsid w:val="79714322"/>
    <w:rsid w:val="79F253C4"/>
    <w:rsid w:val="7A263D9D"/>
    <w:rsid w:val="7A2D254D"/>
    <w:rsid w:val="7A3C22D1"/>
    <w:rsid w:val="7A6E4C98"/>
    <w:rsid w:val="7A8B4514"/>
    <w:rsid w:val="7AC22E37"/>
    <w:rsid w:val="7B0574E9"/>
    <w:rsid w:val="7B091377"/>
    <w:rsid w:val="7B367327"/>
    <w:rsid w:val="7B5E2AA7"/>
    <w:rsid w:val="7BA571A1"/>
    <w:rsid w:val="7BF7759F"/>
    <w:rsid w:val="7C366D83"/>
    <w:rsid w:val="7CAE35FB"/>
    <w:rsid w:val="7CB163F4"/>
    <w:rsid w:val="7CB84091"/>
    <w:rsid w:val="7CD4053F"/>
    <w:rsid w:val="7D3C710B"/>
    <w:rsid w:val="7D646F8A"/>
    <w:rsid w:val="7D650780"/>
    <w:rsid w:val="7D796EE5"/>
    <w:rsid w:val="7D947886"/>
    <w:rsid w:val="7DBD1010"/>
    <w:rsid w:val="7DE91C2E"/>
    <w:rsid w:val="7DF144DE"/>
    <w:rsid w:val="7DFA36D3"/>
    <w:rsid w:val="7E0247C5"/>
    <w:rsid w:val="7E2146D8"/>
    <w:rsid w:val="7E3D10ED"/>
    <w:rsid w:val="7EA64FD4"/>
    <w:rsid w:val="7EA652E1"/>
    <w:rsid w:val="7EAD7C73"/>
    <w:rsid w:val="7ED4259F"/>
    <w:rsid w:val="7ED656C1"/>
    <w:rsid w:val="7EF11A57"/>
    <w:rsid w:val="7F493FF9"/>
    <w:rsid w:val="7F5B6C76"/>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果冻i</cp:lastModifiedBy>
  <dcterms:modified xsi:type="dcterms:W3CDTF">2021-07-04T07:04:01Z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9287CD1DB6F74A3D9E0854E8BB5C20FA</vt:lpwstr>
  </property>
</Properties>
</file>