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kern w:val="0"/>
          <w:sz w:val="44"/>
          <w:szCs w:val="44"/>
        </w:rPr>
      </w:pPr>
    </w:p>
    <w:p>
      <w:pPr>
        <w:spacing w:line="360" w:lineRule="auto"/>
        <w:jc w:val="center"/>
        <w:rPr>
          <w:b/>
          <w:kern w:val="0"/>
          <w:sz w:val="44"/>
          <w:szCs w:val="44"/>
        </w:rPr>
      </w:pPr>
    </w:p>
    <w:p>
      <w:pPr>
        <w:spacing w:line="360" w:lineRule="auto"/>
        <w:jc w:val="center"/>
        <w:rPr>
          <w:b/>
          <w:kern w:val="0"/>
          <w:sz w:val="44"/>
          <w:szCs w:val="44"/>
        </w:rPr>
      </w:pPr>
      <w:r>
        <w:rPr>
          <w:b/>
          <w:kern w:val="0"/>
          <w:sz w:val="44"/>
          <w:szCs w:val="44"/>
        </w:rPr>
        <w:t>2021-2023</w:t>
      </w:r>
      <w:r>
        <w:rPr>
          <w:rFonts w:hAnsi="宋体"/>
          <w:b/>
          <w:kern w:val="0"/>
          <w:sz w:val="44"/>
          <w:szCs w:val="44"/>
        </w:rPr>
        <w:t>年度养管中心车辆保险服务</w:t>
      </w:r>
    </w:p>
    <w:p>
      <w:pPr>
        <w:spacing w:line="360" w:lineRule="auto"/>
        <w:jc w:val="center"/>
        <w:rPr>
          <w:rFonts w:eastAsia="华文中宋"/>
          <w:b/>
          <w:kern w:val="0"/>
          <w:sz w:val="36"/>
          <w:szCs w:val="36"/>
        </w:rPr>
      </w:pPr>
    </w:p>
    <w:p>
      <w:pPr>
        <w:spacing w:line="360" w:lineRule="auto"/>
        <w:jc w:val="center"/>
        <w:rPr>
          <w:rFonts w:eastAsia="华文中宋"/>
          <w:b/>
          <w:kern w:val="0"/>
          <w:sz w:val="36"/>
          <w:szCs w:val="36"/>
        </w:rPr>
      </w:pPr>
    </w:p>
    <w:p>
      <w:pPr>
        <w:rPr>
          <w:kern w:val="0"/>
          <w:sz w:val="44"/>
          <w:szCs w:val="44"/>
        </w:rPr>
      </w:pPr>
    </w:p>
    <w:p>
      <w:pPr>
        <w:pStyle w:val="2"/>
      </w:pPr>
    </w:p>
    <w:p>
      <w:pPr>
        <w:snapToGrid w:val="0"/>
        <w:rPr>
          <w:b/>
          <w:bCs/>
          <w:spacing w:val="12"/>
          <w:kern w:val="0"/>
          <w:position w:val="-36"/>
          <w:sz w:val="44"/>
          <w:szCs w:val="44"/>
        </w:rPr>
      </w:pPr>
    </w:p>
    <w:p>
      <w:pPr>
        <w:snapToGrid w:val="0"/>
        <w:rPr>
          <w:b/>
          <w:bCs/>
          <w:spacing w:val="12"/>
          <w:kern w:val="0"/>
          <w:position w:val="-36"/>
          <w:sz w:val="44"/>
          <w:szCs w:val="44"/>
        </w:rPr>
      </w:pPr>
    </w:p>
    <w:p>
      <w:pPr>
        <w:pStyle w:val="2"/>
      </w:pPr>
    </w:p>
    <w:p>
      <w:pPr>
        <w:snapToGrid w:val="0"/>
        <w:rPr>
          <w:b/>
          <w:bCs/>
          <w:spacing w:val="12"/>
          <w:kern w:val="0"/>
          <w:position w:val="-36"/>
          <w:sz w:val="44"/>
          <w:szCs w:val="44"/>
        </w:rPr>
      </w:pPr>
    </w:p>
    <w:p>
      <w:pPr>
        <w:snapToGrid w:val="0"/>
        <w:rPr>
          <w:b/>
          <w:bCs/>
          <w:spacing w:val="12"/>
          <w:kern w:val="0"/>
          <w:position w:val="-36"/>
          <w:sz w:val="44"/>
          <w:szCs w:val="44"/>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napToGrid w:val="0"/>
        <w:rPr>
          <w:spacing w:val="12"/>
          <w:kern w:val="0"/>
          <w:position w:val="-36"/>
          <w:sz w:val="44"/>
          <w:szCs w:val="44"/>
        </w:rPr>
      </w:pPr>
    </w:p>
    <w:p>
      <w:pPr>
        <w:snapToGrid w:val="0"/>
        <w:rPr>
          <w:spacing w:val="12"/>
          <w:kern w:val="0"/>
          <w:position w:val="-36"/>
          <w:sz w:val="44"/>
          <w:szCs w:val="44"/>
        </w:rPr>
      </w:pPr>
    </w:p>
    <w:p>
      <w:pPr>
        <w:snapToGrid w:val="0"/>
        <w:rPr>
          <w:spacing w:val="12"/>
          <w:kern w:val="0"/>
          <w:position w:val="-36"/>
          <w:sz w:val="44"/>
          <w:szCs w:val="44"/>
        </w:rPr>
      </w:pPr>
    </w:p>
    <w:p>
      <w:pPr>
        <w:snapToGrid w:val="0"/>
        <w:rPr>
          <w:spacing w:val="12"/>
          <w:kern w:val="0"/>
          <w:position w:val="-36"/>
          <w:sz w:val="44"/>
          <w:szCs w:val="44"/>
        </w:rPr>
      </w:pPr>
    </w:p>
    <w:p>
      <w:pPr>
        <w:pStyle w:val="2"/>
        <w:rPr>
          <w:rFonts w:eastAsia="宋体"/>
        </w:rPr>
      </w:pPr>
    </w:p>
    <w:p>
      <w:pPr>
        <w:pStyle w:val="2"/>
        <w:rPr>
          <w:rFonts w:eastAsia="宋体"/>
        </w:rPr>
      </w:pPr>
    </w:p>
    <w:p>
      <w:pPr>
        <w:pStyle w:val="2"/>
      </w:pPr>
    </w:p>
    <w:p>
      <w:pPr>
        <w:pStyle w:val="2"/>
      </w:pPr>
    </w:p>
    <w:p>
      <w:pPr>
        <w:pStyle w:val="2"/>
      </w:pPr>
    </w:p>
    <w:p>
      <w:pPr>
        <w:spacing w:line="360" w:lineRule="auto"/>
        <w:jc w:val="left"/>
        <w:rPr>
          <w:rFonts w:ascii="黑体" w:hAnsi="黑体" w:eastAsia="黑体" w:cs="黑体"/>
          <w:bCs/>
          <w:sz w:val="32"/>
          <w:szCs w:val="32"/>
        </w:rPr>
      </w:pPr>
      <w:r>
        <w:rPr>
          <w:rFonts w:hint="eastAsia" w:ascii="黑体" w:hAnsi="黑体" w:eastAsia="黑体" w:cs="黑体"/>
          <w:bCs/>
          <w:sz w:val="32"/>
          <w:szCs w:val="32"/>
        </w:rPr>
        <w:t>采   购   人：安徽省交通控股集团有限公司养护管理中心</w:t>
      </w:r>
    </w:p>
    <w:p>
      <w:pPr>
        <w:spacing w:line="360" w:lineRule="auto"/>
        <w:jc w:val="left"/>
        <w:rPr>
          <w:rFonts w:ascii="黑体" w:hAnsi="黑体" w:eastAsia="黑体" w:cs="黑体"/>
          <w:bCs/>
          <w:sz w:val="32"/>
          <w:szCs w:val="32"/>
        </w:rPr>
      </w:pPr>
      <w:r>
        <w:rPr>
          <w:rFonts w:hint="eastAsia" w:ascii="黑体" w:hAnsi="黑体" w:eastAsia="黑体" w:cs="黑体"/>
          <w:bCs/>
          <w:sz w:val="32"/>
          <w:szCs w:val="32"/>
        </w:rPr>
        <w:t>代 理 机 构 ：安徽皖运保险代理有限公司</w:t>
      </w:r>
    </w:p>
    <w:p>
      <w:pPr>
        <w:spacing w:line="360" w:lineRule="auto"/>
        <w:jc w:val="center"/>
        <w:rPr>
          <w:rFonts w:ascii="黑体" w:hAnsi="黑体" w:eastAsia="黑体" w:cs="黑体"/>
          <w:bCs/>
          <w:sz w:val="32"/>
          <w:szCs w:val="32"/>
        </w:rPr>
      </w:pPr>
      <w:r>
        <w:rPr>
          <w:rFonts w:hint="eastAsia" w:ascii="黑体" w:hAnsi="黑体" w:eastAsia="黑体" w:cs="黑体"/>
          <w:bCs/>
          <w:sz w:val="32"/>
          <w:szCs w:val="32"/>
        </w:rPr>
        <w:t>2021年1月</w:t>
      </w:r>
    </w:p>
    <w:p>
      <w:pPr>
        <w:spacing w:line="360" w:lineRule="auto"/>
        <w:jc w:val="left"/>
        <w:rPr>
          <w:rFonts w:ascii="黑体" w:hAnsi="黑体" w:eastAsia="黑体" w:cs="黑体"/>
          <w:bCs/>
          <w:sz w:val="32"/>
          <w:szCs w:val="32"/>
        </w:rPr>
      </w:pPr>
    </w:p>
    <w:sdt>
      <w:sdtPr>
        <w:rPr>
          <w:rFonts w:ascii="宋体" w:hAnsi="宋体" w:eastAsia="宋体"/>
        </w:rPr>
        <w:id w:val="147458652"/>
        <w:docPartObj>
          <w:docPartGallery w:val="Table of Contents"/>
          <w:docPartUnique/>
        </w:docPartObj>
      </w:sdtPr>
      <w:sdtEndPr>
        <w:rPr>
          <w:rFonts w:ascii="宋体" w:hAnsi="宋体" w:eastAsia="宋体"/>
        </w:rPr>
      </w:sdtEndPr>
      <w:sdtContent>
        <w:p>
          <w:pPr>
            <w:jc w:val="center"/>
            <w:rPr>
              <w:sz w:val="44"/>
              <w:szCs w:val="44"/>
            </w:rPr>
          </w:pPr>
          <w:r>
            <w:rPr>
              <w:rFonts w:ascii="宋体" w:hAnsi="宋体" w:eastAsia="宋体"/>
              <w:sz w:val="44"/>
              <w:szCs w:val="44"/>
            </w:rPr>
            <w:t>目录</w:t>
          </w:r>
        </w:p>
        <w:p>
          <w:pPr>
            <w:pStyle w:val="16"/>
            <w:tabs>
              <w:tab w:val="right" w:leader="dot" w:pos="9072"/>
            </w:tabs>
            <w:rPr>
              <w:sz w:val="28"/>
              <w:szCs w:val="28"/>
            </w:rPr>
          </w:pPr>
          <w:r>
            <w:rPr>
              <w:rFonts w:ascii="宋体" w:hAnsi="宋体" w:eastAsia="宋体"/>
            </w:rPr>
            <w:fldChar w:fldCharType="begin"/>
          </w:r>
          <w:r>
            <w:rPr>
              <w:rFonts w:ascii="宋体" w:hAnsi="宋体" w:eastAsia="宋体"/>
            </w:rPr>
            <w:instrText xml:space="preserve">TOC \o "1-1" \h \u </w:instrText>
          </w:r>
          <w:r>
            <w:rPr>
              <w:rFonts w:ascii="宋体" w:hAnsi="宋体" w:eastAsia="宋体"/>
            </w:rPr>
            <w:fldChar w:fldCharType="separate"/>
          </w:r>
          <w:r>
            <w:fldChar w:fldCharType="begin"/>
          </w:r>
          <w:r>
            <w:instrText xml:space="preserve"> HYPERLINK \l "_Toc20486" </w:instrText>
          </w:r>
          <w:r>
            <w:fldChar w:fldCharType="separate"/>
          </w:r>
          <w:r>
            <w:rPr>
              <w:rFonts w:hint="eastAsia" w:ascii="Times New Roman" w:hAnsi="Times New Roman" w:eastAsia="宋体" w:cs="Times New Roman"/>
              <w:sz w:val="28"/>
              <w:szCs w:val="28"/>
            </w:rPr>
            <w:t xml:space="preserve">第一章  </w:t>
          </w:r>
          <w:r>
            <w:rPr>
              <w:rFonts w:ascii="Times New Roman" w:hAnsi="Times New Roman" w:eastAsia="宋体" w:cs="Times New Roman"/>
              <w:sz w:val="28"/>
              <w:szCs w:val="28"/>
            </w:rPr>
            <w:t>采购公告</w:t>
          </w:r>
          <w:r>
            <w:rPr>
              <w:sz w:val="28"/>
              <w:szCs w:val="28"/>
            </w:rPr>
            <w:tab/>
          </w:r>
          <w:r>
            <w:rPr>
              <w:sz w:val="28"/>
              <w:szCs w:val="28"/>
            </w:rPr>
            <w:fldChar w:fldCharType="begin"/>
          </w:r>
          <w:r>
            <w:rPr>
              <w:sz w:val="28"/>
              <w:szCs w:val="28"/>
            </w:rPr>
            <w:instrText xml:space="preserve"> PAGEREF _Toc20486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6"/>
            <w:tabs>
              <w:tab w:val="right" w:leader="dot" w:pos="9072"/>
            </w:tabs>
            <w:rPr>
              <w:sz w:val="28"/>
              <w:szCs w:val="28"/>
            </w:rPr>
          </w:pPr>
          <w:r>
            <w:fldChar w:fldCharType="begin"/>
          </w:r>
          <w:r>
            <w:instrText xml:space="preserve"> HYPERLINK \l "_Toc5482" </w:instrText>
          </w:r>
          <w:r>
            <w:fldChar w:fldCharType="separate"/>
          </w:r>
          <w:r>
            <w:rPr>
              <w:rFonts w:hint="eastAsia" w:ascii="Times New Roman" w:hAnsi="Times New Roman" w:eastAsia="宋体" w:cs="Times New Roman"/>
              <w:sz w:val="28"/>
              <w:szCs w:val="28"/>
            </w:rPr>
            <w:t xml:space="preserve">第二章  </w:t>
          </w:r>
          <w:r>
            <w:rPr>
              <w:rFonts w:ascii="Times New Roman" w:hAnsi="Times New Roman" w:eastAsia="宋体" w:cs="Times New Roman"/>
              <w:sz w:val="28"/>
              <w:szCs w:val="28"/>
            </w:rPr>
            <w:t>供应商须知</w:t>
          </w:r>
          <w:r>
            <w:rPr>
              <w:sz w:val="28"/>
              <w:szCs w:val="28"/>
            </w:rPr>
            <w:tab/>
          </w:r>
          <w:r>
            <w:rPr>
              <w:sz w:val="28"/>
              <w:szCs w:val="28"/>
            </w:rPr>
            <w:fldChar w:fldCharType="begin"/>
          </w:r>
          <w:r>
            <w:rPr>
              <w:sz w:val="28"/>
              <w:szCs w:val="28"/>
            </w:rPr>
            <w:instrText xml:space="preserve"> PAGEREF _Toc5482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6"/>
            <w:tabs>
              <w:tab w:val="right" w:leader="dot" w:pos="9072"/>
            </w:tabs>
            <w:rPr>
              <w:sz w:val="28"/>
              <w:szCs w:val="28"/>
            </w:rPr>
          </w:pPr>
          <w:r>
            <w:fldChar w:fldCharType="begin"/>
          </w:r>
          <w:r>
            <w:instrText xml:space="preserve"> HYPERLINK \l "_Toc11201" </w:instrText>
          </w:r>
          <w:r>
            <w:fldChar w:fldCharType="separate"/>
          </w:r>
          <w:r>
            <w:rPr>
              <w:rFonts w:hint="eastAsia" w:ascii="Times New Roman" w:hAnsi="Times New Roman" w:eastAsia="宋体" w:cs="Times New Roman"/>
              <w:sz w:val="28"/>
              <w:szCs w:val="28"/>
            </w:rPr>
            <w:t xml:space="preserve">第三章  </w:t>
          </w:r>
          <w:r>
            <w:rPr>
              <w:rFonts w:ascii="Times New Roman" w:hAnsi="Times New Roman" w:eastAsia="宋体" w:cs="Times New Roman"/>
              <w:sz w:val="28"/>
              <w:szCs w:val="28"/>
            </w:rPr>
            <w:t>评审办法</w:t>
          </w:r>
          <w:r>
            <w:rPr>
              <w:sz w:val="28"/>
              <w:szCs w:val="28"/>
            </w:rPr>
            <w:tab/>
          </w:r>
          <w:r>
            <w:rPr>
              <w:sz w:val="28"/>
              <w:szCs w:val="28"/>
            </w:rPr>
            <w:fldChar w:fldCharType="begin"/>
          </w:r>
          <w:r>
            <w:rPr>
              <w:sz w:val="28"/>
              <w:szCs w:val="28"/>
            </w:rPr>
            <w:instrText xml:space="preserve"> PAGEREF _Toc11201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6"/>
            <w:tabs>
              <w:tab w:val="right" w:leader="dot" w:pos="9072"/>
            </w:tabs>
            <w:rPr>
              <w:sz w:val="28"/>
              <w:szCs w:val="28"/>
            </w:rPr>
          </w:pPr>
          <w:r>
            <w:fldChar w:fldCharType="begin"/>
          </w:r>
          <w:r>
            <w:instrText xml:space="preserve"> HYPERLINK \l "_Toc27044" </w:instrText>
          </w:r>
          <w:r>
            <w:fldChar w:fldCharType="separate"/>
          </w:r>
          <w:r>
            <w:rPr>
              <w:rFonts w:hint="eastAsia" w:ascii="Times New Roman" w:hAnsi="Times New Roman" w:eastAsia="宋体" w:cs="Times New Roman"/>
              <w:sz w:val="28"/>
              <w:szCs w:val="28"/>
            </w:rPr>
            <w:t xml:space="preserve">第四章  </w:t>
          </w:r>
          <w:r>
            <w:rPr>
              <w:rFonts w:ascii="Times New Roman" w:hAnsi="Times New Roman" w:eastAsia="宋体" w:cs="Times New Roman"/>
              <w:sz w:val="28"/>
              <w:szCs w:val="28"/>
            </w:rPr>
            <w:t>合同内容</w:t>
          </w:r>
          <w:r>
            <w:rPr>
              <w:sz w:val="28"/>
              <w:szCs w:val="28"/>
            </w:rPr>
            <w:tab/>
          </w:r>
          <w:r>
            <w:rPr>
              <w:sz w:val="28"/>
              <w:szCs w:val="28"/>
            </w:rPr>
            <w:fldChar w:fldCharType="begin"/>
          </w:r>
          <w:r>
            <w:rPr>
              <w:sz w:val="28"/>
              <w:szCs w:val="28"/>
            </w:rPr>
            <w:instrText xml:space="preserve"> PAGEREF _Toc27044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6"/>
            <w:tabs>
              <w:tab w:val="right" w:leader="dot" w:pos="9072"/>
            </w:tabs>
            <w:rPr>
              <w:sz w:val="28"/>
              <w:szCs w:val="28"/>
            </w:rPr>
          </w:pPr>
          <w:r>
            <w:fldChar w:fldCharType="begin"/>
          </w:r>
          <w:r>
            <w:instrText xml:space="preserve"> HYPERLINK \l "_Toc20465" </w:instrText>
          </w:r>
          <w:r>
            <w:fldChar w:fldCharType="separate"/>
          </w:r>
          <w:r>
            <w:rPr>
              <w:rFonts w:hint="eastAsia" w:ascii="Times New Roman" w:hAnsi="Times New Roman" w:eastAsia="宋体" w:cs="Times New Roman"/>
              <w:sz w:val="28"/>
              <w:szCs w:val="28"/>
            </w:rPr>
            <w:t xml:space="preserve">第五章  </w:t>
          </w:r>
          <w:r>
            <w:rPr>
              <w:rFonts w:ascii="Times New Roman" w:hAnsi="Times New Roman" w:eastAsia="宋体" w:cs="Times New Roman"/>
              <w:sz w:val="28"/>
              <w:szCs w:val="28"/>
            </w:rPr>
            <w:t>采购需求及清单</w:t>
          </w:r>
          <w:r>
            <w:rPr>
              <w:sz w:val="28"/>
              <w:szCs w:val="28"/>
            </w:rPr>
            <w:tab/>
          </w:r>
          <w:r>
            <w:rPr>
              <w:sz w:val="28"/>
              <w:szCs w:val="28"/>
            </w:rPr>
            <w:fldChar w:fldCharType="begin"/>
          </w:r>
          <w:r>
            <w:rPr>
              <w:sz w:val="28"/>
              <w:szCs w:val="28"/>
            </w:rPr>
            <w:instrText xml:space="preserve"> PAGEREF _Toc20465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6"/>
            <w:tabs>
              <w:tab w:val="right" w:leader="dot" w:pos="9072"/>
            </w:tabs>
          </w:pPr>
          <w:r>
            <w:fldChar w:fldCharType="begin"/>
          </w:r>
          <w:r>
            <w:instrText xml:space="preserve"> HYPERLINK \l "_Toc5402" </w:instrText>
          </w:r>
          <w:r>
            <w:fldChar w:fldCharType="separate"/>
          </w:r>
          <w:r>
            <w:rPr>
              <w:rFonts w:hint="eastAsia" w:ascii="Times New Roman" w:hAnsi="Times New Roman" w:eastAsia="宋体" w:cs="Times New Roman"/>
              <w:sz w:val="28"/>
              <w:szCs w:val="28"/>
            </w:rPr>
            <w:t xml:space="preserve">第六章  </w:t>
          </w:r>
          <w:r>
            <w:rPr>
              <w:rFonts w:ascii="Times New Roman" w:hAnsi="Times New Roman" w:eastAsia="宋体" w:cs="Times New Roman"/>
              <w:sz w:val="28"/>
              <w:szCs w:val="28"/>
            </w:rPr>
            <w:t>响应文件格式</w:t>
          </w:r>
          <w:r>
            <w:rPr>
              <w:sz w:val="28"/>
              <w:szCs w:val="28"/>
            </w:rPr>
            <w:tab/>
          </w:r>
          <w:r>
            <w:rPr>
              <w:sz w:val="28"/>
              <w:szCs w:val="28"/>
            </w:rPr>
            <w:fldChar w:fldCharType="begin"/>
          </w:r>
          <w:r>
            <w:rPr>
              <w:sz w:val="28"/>
              <w:szCs w:val="28"/>
            </w:rPr>
            <w:instrText xml:space="preserve"> PAGEREF _Toc5402 </w:instrText>
          </w:r>
          <w:r>
            <w:rPr>
              <w:sz w:val="28"/>
              <w:szCs w:val="28"/>
            </w:rPr>
            <w:fldChar w:fldCharType="separate"/>
          </w:r>
          <w:r>
            <w:rPr>
              <w:sz w:val="28"/>
              <w:szCs w:val="28"/>
            </w:rPr>
            <w:t>25</w:t>
          </w:r>
          <w:r>
            <w:rPr>
              <w:sz w:val="28"/>
              <w:szCs w:val="28"/>
            </w:rPr>
            <w:fldChar w:fldCharType="end"/>
          </w:r>
          <w:r>
            <w:rPr>
              <w:sz w:val="28"/>
              <w:szCs w:val="28"/>
            </w:rPr>
            <w:fldChar w:fldCharType="end"/>
          </w: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numPr>
          <w:ilvl w:val="255"/>
          <w:numId w:val="0"/>
        </w:numPr>
        <w:spacing w:before="312" w:after="312"/>
        <w:rPr>
          <w:rFonts w:ascii="Times New Roman" w:hAnsi="Times New Roman" w:eastAsia="宋体" w:cs="Times New Roman"/>
        </w:rPr>
      </w:pPr>
      <w:bookmarkStart w:id="0" w:name="_Toc20486"/>
      <w:r>
        <w:rPr>
          <w:rFonts w:hint="eastAsia" w:ascii="Times New Roman" w:hAnsi="Times New Roman" w:eastAsia="宋体" w:cs="Times New Roman"/>
        </w:rPr>
        <w:t xml:space="preserve">第一章  </w:t>
      </w:r>
      <w:r>
        <w:rPr>
          <w:rFonts w:ascii="Times New Roman" w:hAnsi="Times New Roman" w:eastAsia="宋体" w:cs="Times New Roman"/>
        </w:rPr>
        <w:t>采购公告</w:t>
      </w:r>
      <w:bookmarkEnd w:id="0"/>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ascii="宋体" w:hAnsi="宋体" w:cs="宋体"/>
          <w:b/>
          <w:sz w:val="24"/>
          <w:highlight w:val="none"/>
        </w:rPr>
      </w:pPr>
      <w:bookmarkStart w:id="1" w:name="_Toc4489_WPSOffice_Level2"/>
      <w:bookmarkStart w:id="2" w:name="_Toc24354_WPSOffice_Level2"/>
      <w:bookmarkStart w:id="3" w:name="_Toc13871"/>
      <w:bookmarkStart w:id="4" w:name="_Toc10395_WPSOffice_Level2"/>
      <w:bookmarkStart w:id="5" w:name="_Toc6496_WPSOffice_Level2"/>
      <w:bookmarkStart w:id="6" w:name="_Toc525632585"/>
      <w:bookmarkStart w:id="7" w:name="_Toc12765"/>
      <w:r>
        <w:rPr>
          <w:rFonts w:hint="eastAsia" w:ascii="宋体" w:hAnsi="宋体" w:cs="宋体"/>
          <w:b/>
          <w:sz w:val="24"/>
          <w:highlight w:val="none"/>
        </w:rPr>
        <w:t>1.项目简介</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宋体" w:hAnsi="宋体" w:cs="宋体"/>
          <w:b/>
          <w:szCs w:val="21"/>
          <w:highlight w:val="none"/>
        </w:rPr>
      </w:pPr>
      <w:r>
        <w:rPr>
          <w:rFonts w:hint="eastAsia" w:ascii="宋体" w:hAnsi="宋体" w:cs="宋体"/>
          <w:szCs w:val="21"/>
          <w:highlight w:val="none"/>
        </w:rPr>
        <w:t>1.1项目名称：2021-2023年度养管中心车辆保险服务</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宋体" w:hAnsi="宋体" w:cs="宋体"/>
          <w:szCs w:val="21"/>
          <w:highlight w:val="none"/>
        </w:rPr>
      </w:pPr>
      <w:r>
        <w:rPr>
          <w:rFonts w:hint="eastAsia" w:ascii="宋体" w:hAnsi="宋体" w:cs="宋体"/>
          <w:szCs w:val="21"/>
          <w:highlight w:val="none"/>
        </w:rPr>
        <w:t>1.2采购人：安徽省交通控股集团有限公司养护管理中心</w:t>
      </w:r>
    </w:p>
    <w:p>
      <w:pPr>
        <w:keepNext w:val="0"/>
        <w:keepLines w:val="0"/>
        <w:pageBreakBefore w:val="0"/>
        <w:kinsoku/>
        <w:wordWrap/>
        <w:overflowPunct/>
        <w:topLinePunct w:val="0"/>
        <w:autoSpaceDE/>
        <w:autoSpaceDN/>
        <w:bidi w:val="0"/>
        <w:adjustRightInd/>
        <w:spacing w:line="560" w:lineRule="exact"/>
        <w:ind w:firstLine="840" w:firstLineChars="400"/>
        <w:textAlignment w:val="auto"/>
        <w:rPr>
          <w:rFonts w:ascii="宋体" w:hAnsi="宋体" w:cs="宋体"/>
          <w:szCs w:val="21"/>
          <w:highlight w:val="none"/>
        </w:rPr>
      </w:pPr>
      <w:r>
        <w:rPr>
          <w:rFonts w:hint="eastAsia" w:ascii="宋体" w:hAnsi="宋体" w:cs="宋体"/>
          <w:szCs w:val="21"/>
          <w:highlight w:val="none"/>
        </w:rPr>
        <w:t>代理机构：安徽皖运保险代理有限公司，由采购人授权委托其进行本项目询比采购工作。</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宋体" w:hAnsi="宋体"/>
          <w:szCs w:val="21"/>
          <w:highlight w:val="none"/>
        </w:rPr>
      </w:pPr>
      <w:r>
        <w:rPr>
          <w:rFonts w:hint="eastAsia" w:ascii="宋体" w:hAnsi="宋体"/>
          <w:szCs w:val="21"/>
          <w:highlight w:val="none"/>
        </w:rPr>
        <w:t>1.3项目概况：2021-2023年度养管中心车辆保险（起始时间以实际车辆保险期限为准）商业险、交强险，并代交车船使用税（费用据实结算），其中商业险投保项目为车辆损失险、第三者责任险(100万元）、车上人员险（驾驶员10万元，其他座位1万元/人）。</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ascii="宋体" w:hAnsi="宋体" w:cs="宋体"/>
          <w:b/>
          <w:sz w:val="24"/>
          <w:highlight w:val="none"/>
        </w:rPr>
      </w:pPr>
      <w:r>
        <w:rPr>
          <w:rFonts w:hint="eastAsia" w:ascii="宋体" w:hAnsi="宋体" w:cs="宋体"/>
          <w:b/>
          <w:sz w:val="24"/>
          <w:highlight w:val="none"/>
        </w:rPr>
        <w:t>2.采购说明</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宋体" w:hAnsi="宋体"/>
          <w:szCs w:val="21"/>
          <w:highlight w:val="none"/>
        </w:rPr>
      </w:pPr>
      <w:r>
        <w:rPr>
          <w:rFonts w:ascii="宋体" w:hAnsi="宋体"/>
          <w:szCs w:val="21"/>
          <w:highlight w:val="none"/>
        </w:rPr>
        <w:t>2.1采购方式：公开询比采购</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宋体" w:hAnsi="宋体"/>
          <w:szCs w:val="21"/>
          <w:highlight w:val="none"/>
        </w:rPr>
      </w:pPr>
      <w:r>
        <w:rPr>
          <w:rFonts w:ascii="宋体" w:hAnsi="宋体"/>
          <w:szCs w:val="21"/>
          <w:highlight w:val="none"/>
        </w:rPr>
        <w:t>2.2资金来源及比例：企业自筹</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宋体" w:hAnsi="宋体"/>
          <w:szCs w:val="21"/>
          <w:highlight w:val="none"/>
        </w:rPr>
      </w:pPr>
      <w:r>
        <w:rPr>
          <w:rFonts w:hint="eastAsia" w:ascii="宋体" w:hAnsi="宋体"/>
          <w:szCs w:val="21"/>
          <w:highlight w:val="none"/>
        </w:rPr>
        <w:t>2.3采购范围：2021-2023年度报价清单中车辆的交强险、商业险保险服务采购，并代缴车船使用税。</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宋体" w:hAnsi="宋体"/>
          <w:szCs w:val="21"/>
          <w:highlight w:val="none"/>
        </w:rPr>
      </w:pPr>
      <w:r>
        <w:rPr>
          <w:rFonts w:hint="eastAsia" w:ascii="宋体" w:hAnsi="宋体"/>
          <w:szCs w:val="21"/>
          <w:highlight w:val="none"/>
        </w:rPr>
        <w:t>2.4</w:t>
      </w:r>
      <w:r>
        <w:rPr>
          <w:rFonts w:ascii="宋体" w:hAnsi="宋体"/>
          <w:szCs w:val="21"/>
          <w:highlight w:val="none"/>
        </w:rPr>
        <w:t>合同包划分：</w:t>
      </w:r>
      <w:r>
        <w:rPr>
          <w:rFonts w:hint="eastAsia" w:ascii="宋体" w:hAnsi="宋体"/>
          <w:szCs w:val="21"/>
          <w:highlight w:val="none"/>
        </w:rPr>
        <w:t>一个合同包</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宋体" w:hAnsi="宋体"/>
          <w:szCs w:val="21"/>
          <w:highlight w:val="none"/>
        </w:rPr>
      </w:pPr>
      <w:r>
        <w:rPr>
          <w:rFonts w:hint="eastAsia" w:ascii="宋体" w:hAnsi="宋体"/>
          <w:szCs w:val="21"/>
          <w:highlight w:val="none"/>
        </w:rPr>
        <w:t>2.5最高限价：</w:t>
      </w:r>
      <w:r>
        <w:rPr>
          <w:rFonts w:hint="eastAsia" w:ascii="宋体" w:hAnsi="宋体"/>
          <w:bCs/>
          <w:szCs w:val="21"/>
          <w:highlight w:val="none"/>
        </w:rPr>
        <w:t>本次采购项目</w:t>
      </w:r>
      <w:r>
        <w:rPr>
          <w:rFonts w:hint="eastAsia" w:ascii="宋体" w:hAnsi="宋体"/>
          <w:b/>
          <w:bCs/>
          <w:szCs w:val="21"/>
          <w:highlight w:val="none"/>
        </w:rPr>
        <w:t>最高限价为52.9万元</w:t>
      </w:r>
      <w:r>
        <w:rPr>
          <w:rFonts w:hint="eastAsia" w:ascii="宋体" w:hAnsi="宋体" w:cs="宋体"/>
          <w:b/>
          <w:szCs w:val="21"/>
          <w:highlight w:val="none"/>
        </w:rPr>
        <w:t>（包含暂定金5万元）</w:t>
      </w:r>
      <w:r>
        <w:rPr>
          <w:rFonts w:hint="eastAsia" w:ascii="宋体" w:hAnsi="宋体"/>
          <w:bCs/>
          <w:szCs w:val="21"/>
          <w:highlight w:val="none"/>
        </w:rPr>
        <w:t>。</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宋体" w:hAnsi="宋体"/>
          <w:szCs w:val="21"/>
          <w:highlight w:val="none"/>
        </w:rPr>
      </w:pPr>
      <w:r>
        <w:rPr>
          <w:rFonts w:hint="eastAsia" w:ascii="宋体" w:hAnsi="宋体"/>
          <w:szCs w:val="21"/>
          <w:highlight w:val="none"/>
        </w:rPr>
        <w:t>2.6计划服务期：三年（起始时间以实际车辆保险期限为准）。</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ascii="宋体" w:hAnsi="宋体" w:eastAsia="宋体" w:cs="宋体"/>
          <w:b/>
          <w:sz w:val="24"/>
          <w:highlight w:val="none"/>
        </w:rPr>
      </w:pPr>
      <w:r>
        <w:rPr>
          <w:rFonts w:hint="eastAsia" w:ascii="宋体" w:hAnsi="宋体" w:cs="宋体"/>
          <w:b/>
          <w:sz w:val="24"/>
          <w:highlight w:val="none"/>
        </w:rPr>
        <w:t>3.供应商资格条件</w:t>
      </w:r>
    </w:p>
    <w:p>
      <w:pPr>
        <w:pStyle w:val="18"/>
        <w:keepNext w:val="0"/>
        <w:keepLines w:val="0"/>
        <w:pageBreakBefore w:val="0"/>
        <w:kinsoku/>
        <w:wordWrap/>
        <w:overflowPunct/>
        <w:topLinePunct w:val="0"/>
        <w:autoSpaceDE/>
        <w:autoSpaceDN/>
        <w:bidi w:val="0"/>
        <w:adjustRightInd/>
        <w:spacing w:beforeAutospacing="0" w:afterAutospacing="0" w:line="560" w:lineRule="exact"/>
        <w:ind w:firstLine="420" w:firstLineChars="200"/>
        <w:textAlignment w:val="auto"/>
        <w:rPr>
          <w:b/>
          <w:kern w:val="2"/>
          <w:sz w:val="21"/>
          <w:szCs w:val="21"/>
          <w:highlight w:val="none"/>
        </w:rPr>
      </w:pPr>
      <w:r>
        <w:rPr>
          <w:rFonts w:hint="eastAsia"/>
          <w:sz w:val="21"/>
          <w:szCs w:val="21"/>
          <w:highlight w:val="none"/>
        </w:rPr>
        <w:t>3.1</w:t>
      </w:r>
      <w:r>
        <w:rPr>
          <w:rFonts w:ascii="Times New Roman" w:hAnsi="Times New Roman" w:cs="Times New Roman"/>
          <w:sz w:val="21"/>
          <w:szCs w:val="22"/>
          <w:highlight w:val="none"/>
        </w:rPr>
        <w:t>本次采购要求供应商须</w:t>
      </w:r>
      <w:r>
        <w:rPr>
          <w:rFonts w:hint="eastAsia" w:ascii="Times New Roman" w:hAnsi="Times New Roman" w:cs="Times New Roman"/>
          <w:sz w:val="21"/>
          <w:szCs w:val="22"/>
          <w:highlight w:val="none"/>
        </w:rPr>
        <w:t>同时</w:t>
      </w:r>
      <w:r>
        <w:rPr>
          <w:rFonts w:ascii="Times New Roman" w:hAnsi="Times New Roman" w:cs="Times New Roman"/>
          <w:sz w:val="21"/>
          <w:szCs w:val="22"/>
          <w:highlight w:val="none"/>
        </w:rPr>
        <w:t>具备：</w:t>
      </w:r>
    </w:p>
    <w:p>
      <w:pPr>
        <w:keepNext w:val="0"/>
        <w:keepLines w:val="0"/>
        <w:pageBreakBefore w:val="0"/>
        <w:kinsoku/>
        <w:wordWrap/>
        <w:overflowPunct/>
        <w:topLinePunct w:val="0"/>
        <w:autoSpaceDE/>
        <w:autoSpaceDN/>
        <w:bidi w:val="0"/>
        <w:adjustRightInd/>
        <w:spacing w:line="560" w:lineRule="exact"/>
        <w:ind w:firstLine="400" w:firstLineChars="200"/>
        <w:contextualSpacing/>
        <w:textAlignment w:val="auto"/>
        <w:rPr>
          <w:rFonts w:ascii="宋体" w:hAnsi="宋体" w:cs="宋体"/>
          <w:b/>
          <w:bCs/>
          <w:szCs w:val="21"/>
          <w:highlight w:val="none"/>
        </w:rPr>
      </w:pPr>
      <w:r>
        <w:rPr>
          <w:rFonts w:hint="eastAsia" w:ascii="宋体" w:hAnsi="宋体" w:cs="宋体"/>
          <w:b/>
          <w:bCs/>
          <w:sz w:val="20"/>
          <w:szCs w:val="20"/>
          <w:highlight w:val="none"/>
        </w:rPr>
        <w:t>（1）资</w:t>
      </w:r>
      <w:r>
        <w:rPr>
          <w:rFonts w:hint="eastAsia" w:ascii="宋体" w:hAnsi="宋体" w:cs="宋体"/>
          <w:b/>
          <w:bCs/>
          <w:szCs w:val="21"/>
          <w:highlight w:val="none"/>
        </w:rPr>
        <w:t>质最低要求：</w:t>
      </w:r>
    </w:p>
    <w:p>
      <w:pPr>
        <w:keepNext w:val="0"/>
        <w:keepLines w:val="0"/>
        <w:pageBreakBefore w:val="0"/>
        <w:kinsoku/>
        <w:wordWrap/>
        <w:overflowPunct/>
        <w:topLinePunct w:val="0"/>
        <w:autoSpaceDE/>
        <w:autoSpaceDN/>
        <w:bidi w:val="0"/>
        <w:adjustRightInd/>
        <w:spacing w:line="560" w:lineRule="exact"/>
        <w:ind w:firstLine="420" w:firstLineChars="200"/>
        <w:contextualSpacing/>
        <w:textAlignment w:val="auto"/>
        <w:rPr>
          <w:rFonts w:ascii="宋体" w:hAnsi="宋体" w:cs="宋体"/>
          <w:szCs w:val="21"/>
          <w:highlight w:val="none"/>
        </w:rPr>
      </w:pPr>
      <w:r>
        <w:rPr>
          <w:rFonts w:ascii="Times New Roman" w:hAnsi="Times New Roman" w:cs="Times New Roman"/>
          <w:szCs w:val="22"/>
          <w:highlight w:val="none"/>
        </w:rPr>
        <w:t>①</w:t>
      </w:r>
      <w:r>
        <w:rPr>
          <w:rFonts w:hint="eastAsia" w:ascii="宋体" w:hAnsi="宋体" w:cs="宋体"/>
          <w:szCs w:val="21"/>
          <w:highlight w:val="none"/>
        </w:rPr>
        <w:t>持有有效的营业执照；</w:t>
      </w:r>
    </w:p>
    <w:p>
      <w:pPr>
        <w:keepNext w:val="0"/>
        <w:keepLines w:val="0"/>
        <w:pageBreakBefore w:val="0"/>
        <w:kinsoku/>
        <w:wordWrap/>
        <w:overflowPunct/>
        <w:topLinePunct w:val="0"/>
        <w:autoSpaceDE/>
        <w:autoSpaceDN/>
        <w:bidi w:val="0"/>
        <w:adjustRightInd/>
        <w:spacing w:line="560" w:lineRule="exact"/>
        <w:ind w:firstLine="420" w:firstLineChars="200"/>
        <w:contextualSpacing/>
        <w:textAlignment w:val="auto"/>
        <w:rPr>
          <w:rFonts w:ascii="宋体" w:hAnsi="宋体" w:cs="宋体"/>
          <w:szCs w:val="21"/>
          <w:highlight w:val="none"/>
        </w:rPr>
      </w:pPr>
      <w:r>
        <w:rPr>
          <w:rFonts w:ascii="Times New Roman" w:hAnsi="Times New Roman" w:cs="Times New Roman"/>
          <w:szCs w:val="22"/>
          <w:highlight w:val="none"/>
        </w:rPr>
        <w:t>②</w:t>
      </w:r>
      <w:r>
        <w:rPr>
          <w:rFonts w:hint="eastAsia" w:ascii="宋体" w:hAnsi="宋体" w:cs="宋体"/>
          <w:szCs w:val="21"/>
          <w:highlight w:val="none"/>
        </w:rPr>
        <w:t>持有有效的中国银行保险监督管理委员会颁发的保险业务经营许可证；</w:t>
      </w:r>
    </w:p>
    <w:p>
      <w:pPr>
        <w:keepNext w:val="0"/>
        <w:keepLines w:val="0"/>
        <w:pageBreakBefore w:val="0"/>
        <w:kinsoku/>
        <w:wordWrap/>
        <w:overflowPunct/>
        <w:topLinePunct w:val="0"/>
        <w:autoSpaceDE/>
        <w:autoSpaceDN/>
        <w:bidi w:val="0"/>
        <w:adjustRightInd/>
        <w:spacing w:line="560" w:lineRule="exact"/>
        <w:ind w:firstLine="420" w:firstLineChars="200"/>
        <w:contextualSpacing/>
        <w:textAlignment w:val="auto"/>
        <w:rPr>
          <w:rFonts w:ascii="宋体" w:hAnsi="宋体" w:cs="宋体"/>
          <w:b/>
          <w:bCs/>
          <w:sz w:val="20"/>
          <w:szCs w:val="20"/>
          <w:highlight w:val="none"/>
        </w:rPr>
      </w:pPr>
      <w:r>
        <w:rPr>
          <w:rFonts w:hint="eastAsia" w:ascii="宋体" w:hAnsi="宋体" w:cs="宋体"/>
          <w:b/>
          <w:bCs/>
          <w:highlight w:val="none"/>
        </w:rPr>
        <w:t>（2）</w:t>
      </w:r>
      <w:r>
        <w:rPr>
          <w:rFonts w:hint="eastAsia" w:ascii="宋体" w:hAnsi="宋体" w:cs="宋体"/>
          <w:b/>
          <w:bCs/>
          <w:sz w:val="20"/>
          <w:szCs w:val="20"/>
          <w:highlight w:val="none"/>
        </w:rPr>
        <w:t>信誉最低要求：</w:t>
      </w:r>
    </w:p>
    <w:p>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①</w:t>
      </w:r>
      <w:r>
        <w:rPr>
          <w:rFonts w:hint="eastAsia" w:ascii="Times New Roman" w:hAnsi="Times New Roman" w:cs="Times New Roman"/>
          <w:szCs w:val="22"/>
          <w:highlight w:val="none"/>
        </w:rPr>
        <w:t>未被责令停业，暂扣或吊销执照，或吊销资质证书；</w:t>
      </w:r>
    </w:p>
    <w:p>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highlight w:val="none"/>
        </w:rPr>
      </w:pPr>
      <w:r>
        <w:rPr>
          <w:rFonts w:hint="eastAsia" w:ascii="Times New Roman" w:hAnsi="Times New Roman" w:cs="Times New Roman"/>
          <w:szCs w:val="22"/>
          <w:highlight w:val="none"/>
        </w:rPr>
        <w:t>②未进入清算程序，或被宣告破产，或其他丧失履约能力的情形；</w:t>
      </w:r>
    </w:p>
    <w:p>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ascii="Times New Roman" w:hAnsi="Times New Roman" w:cs="Times New Roman"/>
          <w:szCs w:val="22"/>
          <w:highlight w:val="none"/>
        </w:rPr>
      </w:pPr>
      <w:r>
        <w:rPr>
          <w:rFonts w:hint="eastAsia" w:ascii="Times New Roman" w:hAnsi="Times New Roman" w:cs="Times New Roman"/>
          <w:szCs w:val="22"/>
          <w:highlight w:val="none"/>
        </w:rPr>
        <w:t>③</w:t>
      </w:r>
      <w:r>
        <w:rPr>
          <w:rFonts w:ascii="Times New Roman" w:hAnsi="Times New Roman" w:cs="Times New Roman"/>
          <w:szCs w:val="22"/>
          <w:highlight w:val="none"/>
        </w:rPr>
        <w:t>在国家企业信用信息公示系统（http://www.gsxt.gov.cn）中被列入严重违法失信企业名单；</w:t>
      </w:r>
    </w:p>
    <w:p>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ascii="Times New Roman" w:hAnsi="Times New Roman" w:cs="Times New Roman"/>
          <w:szCs w:val="22"/>
          <w:highlight w:val="none"/>
        </w:rPr>
      </w:pPr>
      <w:r>
        <w:rPr>
          <w:rFonts w:hint="eastAsia" w:ascii="Times New Roman" w:hAnsi="Times New Roman" w:cs="Times New Roman"/>
          <w:szCs w:val="22"/>
          <w:highlight w:val="none"/>
        </w:rPr>
        <w:t>④</w:t>
      </w:r>
      <w:r>
        <w:rPr>
          <w:rFonts w:ascii="Times New Roman" w:hAnsi="Times New Roman" w:cs="Times New Roman"/>
          <w:szCs w:val="22"/>
          <w:highlight w:val="none"/>
        </w:rPr>
        <w:t>在“信用中国”网站（http://www.creditchina.gov.cn）中被列入失信被执行人名单；</w:t>
      </w:r>
    </w:p>
    <w:p>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ascii="Times New Roman" w:hAnsi="Times New Roman" w:cs="Times New Roman"/>
          <w:szCs w:val="22"/>
          <w:highlight w:val="none"/>
        </w:rPr>
      </w:pPr>
      <w:r>
        <w:rPr>
          <w:rFonts w:hint="eastAsia" w:ascii="Times New Roman" w:hAnsi="Times New Roman" w:cs="Times New Roman"/>
          <w:szCs w:val="22"/>
          <w:highlight w:val="none"/>
        </w:rPr>
        <w:t>⑤</w:t>
      </w:r>
      <w:r>
        <w:rPr>
          <w:rFonts w:ascii="Times New Roman" w:hAnsi="Times New Roman" w:cs="Times New Roman"/>
          <w:szCs w:val="22"/>
          <w:highlight w:val="none"/>
        </w:rPr>
        <w:t>在近三年内（自</w:t>
      </w:r>
      <w:r>
        <w:rPr>
          <w:rFonts w:hint="eastAsia" w:ascii="Times New Roman" w:hAnsi="Times New Roman" w:cs="Times New Roman"/>
          <w:szCs w:val="22"/>
          <w:highlight w:val="none"/>
        </w:rPr>
        <w:t>响应文件递交截止之日</w:t>
      </w:r>
      <w:r>
        <w:rPr>
          <w:rFonts w:ascii="Times New Roman" w:hAnsi="Times New Roman" w:cs="Times New Roman"/>
          <w:szCs w:val="22"/>
          <w:highlight w:val="none"/>
        </w:rPr>
        <w:t>向前追溯3年）供应商或其法定代表人、拟委任的项目</w:t>
      </w:r>
      <w:r>
        <w:rPr>
          <w:rFonts w:hint="eastAsia" w:ascii="Times New Roman" w:hAnsi="Times New Roman" w:cs="Times New Roman"/>
          <w:szCs w:val="22"/>
          <w:highlight w:val="none"/>
        </w:rPr>
        <w:t>负责人</w:t>
      </w:r>
      <w:r>
        <w:rPr>
          <w:rFonts w:ascii="Times New Roman" w:hAnsi="Times New Roman" w:cs="Times New Roman"/>
          <w:szCs w:val="22"/>
          <w:highlight w:val="none"/>
        </w:rPr>
        <w:t>有行贿犯罪行为的。</w:t>
      </w:r>
    </w:p>
    <w:p>
      <w:pPr>
        <w:pStyle w:val="2"/>
        <w:keepNext w:val="0"/>
        <w:keepLines w:val="0"/>
        <w:pageBreakBefore w:val="0"/>
        <w:kinsoku/>
        <w:wordWrap/>
        <w:overflowPunct/>
        <w:topLinePunct w:val="0"/>
        <w:autoSpaceDE/>
        <w:autoSpaceDN/>
        <w:bidi w:val="0"/>
        <w:adjustRightInd/>
        <w:spacing w:after="0"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3.2联合体：本次采购</w:t>
      </w:r>
      <w:r>
        <w:rPr>
          <w:rFonts w:hint="eastAsia" w:ascii="Times New Roman" w:hAnsi="Times New Roman" w:cs="Times New Roman"/>
          <w:szCs w:val="22"/>
          <w:highlight w:val="none"/>
        </w:rPr>
        <w:t>不接受</w:t>
      </w:r>
      <w:r>
        <w:rPr>
          <w:rFonts w:ascii="Times New Roman" w:hAnsi="Times New Roman" w:cs="Times New Roman"/>
          <w:szCs w:val="22"/>
          <w:highlight w:val="none"/>
        </w:rPr>
        <w:t>联合体报价</w:t>
      </w:r>
      <w:r>
        <w:rPr>
          <w:rFonts w:hint="eastAsia" w:ascii="Times New Roman" w:hAnsi="Times New Roman" w:cs="Times New Roman"/>
          <w:szCs w:val="22"/>
          <w:highlight w:val="none"/>
        </w:rPr>
        <w:t>。</w:t>
      </w:r>
    </w:p>
    <w:p>
      <w:pPr>
        <w:pStyle w:val="2"/>
        <w:keepNext w:val="0"/>
        <w:keepLines w:val="0"/>
        <w:pageBreakBefore w:val="0"/>
        <w:kinsoku/>
        <w:wordWrap/>
        <w:overflowPunct/>
        <w:topLinePunct w:val="0"/>
        <w:autoSpaceDE/>
        <w:autoSpaceDN/>
        <w:bidi w:val="0"/>
        <w:adjustRightInd/>
        <w:spacing w:after="0" w:line="560" w:lineRule="exact"/>
        <w:ind w:firstLine="420" w:firstLineChars="200"/>
        <w:textAlignment w:val="auto"/>
        <w:rPr>
          <w:rFonts w:ascii="Times New Roman" w:hAnsi="Times New Roman" w:cs="Times New Roman"/>
          <w:szCs w:val="22"/>
          <w:highlight w:val="none"/>
        </w:rPr>
      </w:pPr>
      <w:r>
        <w:rPr>
          <w:rFonts w:hint="eastAsia" w:ascii="Times New Roman" w:hAnsi="Times New Roman" w:cs="Times New Roman"/>
          <w:szCs w:val="22"/>
          <w:highlight w:val="none"/>
        </w:rPr>
        <w:t>3.3本项目不允许分包。</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3.</w:t>
      </w:r>
      <w:r>
        <w:rPr>
          <w:rFonts w:hint="eastAsia" w:ascii="Times New Roman" w:hAnsi="Times New Roman" w:cs="Times New Roman"/>
          <w:szCs w:val="22"/>
          <w:highlight w:val="none"/>
        </w:rPr>
        <w:t>4</w:t>
      </w:r>
      <w:r>
        <w:rPr>
          <w:rFonts w:ascii="Times New Roman" w:hAnsi="Times New Roman" w:cs="Times New Roman"/>
          <w:szCs w:val="22"/>
          <w:highlight w:val="none"/>
        </w:rPr>
        <w:t>单位负责人为同一人或者存在控股、管理关系的不同单位，不得同时参加同一合同包报价，否则相关响应文件均无效。</w:t>
      </w:r>
    </w:p>
    <w:p>
      <w:pPr>
        <w:pStyle w:val="2"/>
        <w:keepNext w:val="0"/>
        <w:keepLines w:val="0"/>
        <w:pageBreakBefore w:val="0"/>
        <w:kinsoku/>
        <w:wordWrap/>
        <w:overflowPunct/>
        <w:topLinePunct w:val="0"/>
        <w:autoSpaceDE/>
        <w:autoSpaceDN/>
        <w:bidi w:val="0"/>
        <w:adjustRightInd/>
        <w:spacing w:after="0" w:line="560" w:lineRule="exact"/>
        <w:ind w:firstLine="480" w:firstLineChars="200"/>
        <w:textAlignment w:val="auto"/>
        <w:rPr>
          <w:rFonts w:ascii="宋体" w:hAnsi="宋体" w:cs="宋体"/>
          <w:b/>
          <w:bCs/>
          <w:sz w:val="24"/>
          <w:highlight w:val="none"/>
        </w:rPr>
      </w:pPr>
      <w:r>
        <w:rPr>
          <w:rFonts w:hint="eastAsia" w:ascii="宋体" w:hAnsi="宋体" w:cs="宋体"/>
          <w:b/>
          <w:bCs/>
          <w:sz w:val="24"/>
          <w:highlight w:val="none"/>
        </w:rPr>
        <w:t>4.询比文件的获取</w:t>
      </w:r>
    </w:p>
    <w:p>
      <w:pPr>
        <w:pStyle w:val="2"/>
        <w:keepNext w:val="0"/>
        <w:keepLines w:val="0"/>
        <w:pageBreakBefore w:val="0"/>
        <w:kinsoku/>
        <w:wordWrap/>
        <w:overflowPunct/>
        <w:topLinePunct w:val="0"/>
        <w:autoSpaceDE/>
        <w:autoSpaceDN/>
        <w:bidi w:val="0"/>
        <w:adjustRightInd/>
        <w:spacing w:after="0" w:line="560" w:lineRule="exact"/>
        <w:ind w:firstLine="420" w:firstLineChars="200"/>
        <w:textAlignment w:val="auto"/>
        <w:rPr>
          <w:rFonts w:ascii="宋体" w:hAnsi="宋体"/>
          <w:szCs w:val="21"/>
          <w:highlight w:val="none"/>
        </w:rPr>
      </w:pPr>
      <w:r>
        <w:rPr>
          <w:rFonts w:ascii="Times New Roman" w:hAnsi="Times New Roman" w:cs="Times New Roman"/>
          <w:szCs w:val="22"/>
          <w:highlight w:val="none"/>
        </w:rPr>
        <w:t>供应商应在递交响应文件的截止时间前登录</w:t>
      </w:r>
      <w:r>
        <w:rPr>
          <w:rFonts w:hint="eastAsia" w:ascii="宋体" w:hAnsi="宋体" w:cs="宋体"/>
          <w:kern w:val="0"/>
          <w:szCs w:val="21"/>
          <w:highlight w:val="none"/>
        </w:rPr>
        <w:t>安徽省交运集团有限公司网站（https://www.ahjyjt.com.cn/）</w:t>
      </w:r>
      <w:r>
        <w:rPr>
          <w:rFonts w:ascii="Times New Roman" w:hAnsi="Times New Roman" w:cs="Times New Roman"/>
          <w:szCs w:val="22"/>
          <w:highlight w:val="none"/>
        </w:rPr>
        <w:t>，自行下载</w:t>
      </w:r>
      <w:r>
        <w:rPr>
          <w:rFonts w:hint="eastAsia" w:ascii="Times New Roman" w:hAnsi="Times New Roman" w:cs="Times New Roman"/>
          <w:szCs w:val="22"/>
          <w:highlight w:val="none"/>
        </w:rPr>
        <w:t>询比文件</w:t>
      </w:r>
      <w:r>
        <w:rPr>
          <w:rFonts w:ascii="Times New Roman" w:hAnsi="Times New Roman" w:cs="Times New Roman"/>
          <w:szCs w:val="22"/>
          <w:highlight w:val="none"/>
        </w:rPr>
        <w:t>及相关资料</w:t>
      </w:r>
      <w:r>
        <w:rPr>
          <w:rFonts w:ascii="Times New Roman" w:hAnsi="Times New Roman" w:cs="Times New Roman"/>
          <w:szCs w:val="21"/>
          <w:highlight w:val="none"/>
        </w:rPr>
        <w:t>。</w:t>
      </w:r>
    </w:p>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ascii="宋体" w:hAnsi="宋体" w:cs="宋体"/>
          <w:b/>
          <w:bCs/>
          <w:sz w:val="24"/>
          <w:highlight w:val="none"/>
        </w:rPr>
      </w:pPr>
      <w:bookmarkStart w:id="8" w:name="_Toc525632589"/>
      <w:bookmarkStart w:id="9" w:name="_Toc726"/>
      <w:r>
        <w:rPr>
          <w:rFonts w:hint="eastAsia" w:ascii="宋体" w:hAnsi="宋体" w:cs="宋体"/>
          <w:b/>
          <w:bCs/>
          <w:sz w:val="24"/>
          <w:highlight w:val="none"/>
        </w:rPr>
        <w:t>5.响应文件的递交</w:t>
      </w:r>
      <w:bookmarkEnd w:id="8"/>
      <w:bookmarkEnd w:id="9"/>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响应文件递交的截止时间为</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rPr>
        <w:t>1</w:t>
      </w:r>
      <w:r>
        <w:rPr>
          <w:rFonts w:hint="eastAsia" w:ascii="宋体" w:hAnsi="宋体"/>
          <w:szCs w:val="21"/>
          <w:highlight w:val="none"/>
        </w:rPr>
        <w:t>月</w:t>
      </w:r>
      <w:r>
        <w:rPr>
          <w:rFonts w:hint="eastAsia" w:ascii="宋体" w:hAnsi="宋体"/>
          <w:szCs w:val="21"/>
          <w:highlight w:val="none"/>
          <w:u w:val="single"/>
        </w:rPr>
        <w:t>25</w:t>
      </w:r>
      <w:r>
        <w:rPr>
          <w:rFonts w:hint="eastAsia" w:ascii="宋体" w:hAnsi="宋体"/>
          <w:szCs w:val="21"/>
          <w:highlight w:val="none"/>
        </w:rPr>
        <w:t>日</w:t>
      </w:r>
      <w:r>
        <w:rPr>
          <w:rFonts w:hint="eastAsia" w:ascii="宋体" w:hAnsi="宋体"/>
          <w:szCs w:val="21"/>
          <w:highlight w:val="none"/>
          <w:u w:val="single"/>
        </w:rPr>
        <w:t>10</w:t>
      </w:r>
      <w:r>
        <w:rPr>
          <w:rFonts w:hint="eastAsia" w:ascii="宋体" w:hAnsi="宋体"/>
          <w:szCs w:val="21"/>
          <w:highlight w:val="none"/>
        </w:rPr>
        <w:t>时</w:t>
      </w:r>
      <w:r>
        <w:rPr>
          <w:rFonts w:hint="eastAsia" w:ascii="宋体" w:hAnsi="宋体"/>
          <w:szCs w:val="21"/>
          <w:highlight w:val="none"/>
          <w:u w:val="single"/>
        </w:rPr>
        <w:t>00</w:t>
      </w:r>
      <w:r>
        <w:rPr>
          <w:rFonts w:hint="eastAsia" w:ascii="宋体" w:hAnsi="宋体"/>
          <w:szCs w:val="21"/>
          <w:highlight w:val="none"/>
        </w:rPr>
        <w:t>分</w:t>
      </w:r>
      <w:r>
        <w:rPr>
          <w:rFonts w:ascii="Times New Roman" w:hAnsi="Times New Roman" w:cs="Times New Roman"/>
          <w:szCs w:val="22"/>
          <w:highlight w:val="none"/>
        </w:rPr>
        <w:t>，供应商的法定代表人或其授权代理人应于</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rPr>
        <w:t>1</w:t>
      </w:r>
      <w:r>
        <w:rPr>
          <w:rFonts w:hint="eastAsia" w:ascii="宋体" w:hAnsi="宋体"/>
          <w:szCs w:val="21"/>
          <w:highlight w:val="none"/>
        </w:rPr>
        <w:t>月</w:t>
      </w:r>
      <w:r>
        <w:rPr>
          <w:rFonts w:hint="eastAsia" w:ascii="宋体" w:hAnsi="宋体"/>
          <w:szCs w:val="21"/>
          <w:highlight w:val="none"/>
          <w:u w:val="single"/>
        </w:rPr>
        <w:t>25</w:t>
      </w:r>
      <w:r>
        <w:rPr>
          <w:rFonts w:hint="eastAsia" w:ascii="宋体" w:hAnsi="宋体"/>
          <w:szCs w:val="21"/>
          <w:highlight w:val="none"/>
        </w:rPr>
        <w:t>日</w:t>
      </w:r>
      <w:r>
        <w:rPr>
          <w:rFonts w:hint="eastAsia" w:ascii="宋体" w:hAnsi="宋体"/>
          <w:szCs w:val="21"/>
          <w:highlight w:val="none"/>
          <w:u w:val="single"/>
        </w:rPr>
        <w:t>9</w:t>
      </w:r>
      <w:r>
        <w:rPr>
          <w:rFonts w:hint="eastAsia" w:ascii="宋体" w:hAnsi="宋体"/>
          <w:szCs w:val="21"/>
          <w:highlight w:val="none"/>
        </w:rPr>
        <w:t>时</w:t>
      </w:r>
      <w:r>
        <w:rPr>
          <w:rFonts w:hint="eastAsia" w:ascii="宋体" w:hAnsi="宋体"/>
          <w:szCs w:val="21"/>
          <w:highlight w:val="none"/>
          <w:u w:val="single"/>
        </w:rPr>
        <w:t>00</w:t>
      </w:r>
      <w:r>
        <w:rPr>
          <w:rFonts w:hint="eastAsia" w:ascii="宋体" w:hAnsi="宋体"/>
          <w:szCs w:val="21"/>
          <w:highlight w:val="none"/>
        </w:rPr>
        <w:t>分</w:t>
      </w:r>
      <w:r>
        <w:rPr>
          <w:rFonts w:hint="eastAsia" w:ascii="Times New Roman" w:hAnsi="Times New Roman" w:cs="Times New Roman"/>
          <w:szCs w:val="22"/>
          <w:highlight w:val="none"/>
        </w:rPr>
        <w:t>至</w:t>
      </w:r>
      <w:r>
        <w:rPr>
          <w:rFonts w:ascii="Times New Roman" w:hAnsi="Times New Roman" w:cs="Times New Roman"/>
          <w:szCs w:val="22"/>
          <w:highlight w:val="none"/>
        </w:rPr>
        <w:t>递交的截止时间前将响应文件</w:t>
      </w:r>
      <w:r>
        <w:rPr>
          <w:rFonts w:hint="eastAsia" w:ascii="Times New Roman" w:hAnsi="Times New Roman" w:cs="Times New Roman"/>
          <w:szCs w:val="22"/>
          <w:highlight w:val="none"/>
        </w:rPr>
        <w:t>递交至</w:t>
      </w:r>
      <w:r>
        <w:rPr>
          <w:rFonts w:hint="eastAsia" w:ascii="宋体" w:hAnsi="宋体"/>
          <w:szCs w:val="21"/>
          <w:highlight w:val="none"/>
          <w:u w:val="single"/>
        </w:rPr>
        <w:t>合肥市胜利路35号交通饭店三楼会议室</w:t>
      </w:r>
      <w:r>
        <w:rPr>
          <w:rFonts w:ascii="Times New Roman" w:hAnsi="Times New Roman" w:cs="Times New Roman"/>
          <w:szCs w:val="22"/>
          <w:highlight w:val="none"/>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ascii="宋体" w:hAnsi="宋体" w:cs="宋体"/>
          <w:b/>
          <w:bCs/>
          <w:color w:val="000000"/>
          <w:sz w:val="24"/>
          <w:highlight w:val="none"/>
        </w:rPr>
      </w:pPr>
      <w:bookmarkStart w:id="10" w:name="_Toc22719"/>
      <w:bookmarkStart w:id="11" w:name="_Toc525632591"/>
      <w:r>
        <w:rPr>
          <w:rFonts w:hint="eastAsia" w:ascii="宋体" w:hAnsi="宋体" w:cs="宋体"/>
          <w:b/>
          <w:bCs/>
          <w:color w:val="000000"/>
          <w:sz w:val="24"/>
          <w:highlight w:val="none"/>
        </w:rPr>
        <w:t>6.响应文件启封</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响应文件的递交截止时间到后，采购人将于</w:t>
      </w:r>
      <w:r>
        <w:rPr>
          <w:rFonts w:hint="eastAsia" w:ascii="宋体" w:hAnsi="宋体"/>
          <w:szCs w:val="21"/>
          <w:highlight w:val="none"/>
          <w:u w:val="single"/>
        </w:rPr>
        <w:t>合肥市胜利路35号交通饭店三楼会议室</w:t>
      </w:r>
      <w:r>
        <w:rPr>
          <w:rFonts w:ascii="Times New Roman" w:hAnsi="Times New Roman" w:cs="Times New Roman"/>
          <w:szCs w:val="22"/>
          <w:highlight w:val="none"/>
        </w:rPr>
        <w:t>组织进行响应文件的启封。供应商的法定代表人或授权代理人应携带本人身份证</w:t>
      </w:r>
      <w:r>
        <w:rPr>
          <w:rFonts w:hint="eastAsia" w:ascii="Times New Roman" w:hAnsi="Times New Roman" w:cs="Times New Roman"/>
          <w:szCs w:val="22"/>
          <w:highlight w:val="none"/>
        </w:rPr>
        <w:t>、授权代理人应携带授权委托书</w:t>
      </w:r>
      <w:r>
        <w:rPr>
          <w:rFonts w:ascii="Times New Roman" w:hAnsi="Times New Roman" w:cs="Times New Roman"/>
          <w:szCs w:val="22"/>
          <w:highlight w:val="none"/>
        </w:rPr>
        <w:t>准时参加启封会议。</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7.响应保证金</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highlight w:val="none"/>
        </w:rPr>
      </w:pPr>
      <w:r>
        <w:rPr>
          <w:rFonts w:hint="eastAsia" w:ascii="Times New Roman" w:hAnsi="Times New Roman"/>
          <w:highlight w:val="none"/>
        </w:rPr>
        <w:t>无</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8.发布公告的媒介</w:t>
      </w:r>
      <w:bookmarkEnd w:id="10"/>
      <w:bookmarkEnd w:id="11"/>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本次采购公告在</w:t>
      </w:r>
      <w:r>
        <w:rPr>
          <w:rFonts w:hint="eastAsia" w:ascii="宋体" w:hAnsi="宋体" w:cs="宋体"/>
          <w:kern w:val="0"/>
          <w:szCs w:val="21"/>
          <w:highlight w:val="none"/>
        </w:rPr>
        <w:t>安徽省交运集团有限公司网站（https://www.ahjyjt.com.cn/）</w:t>
      </w:r>
      <w:r>
        <w:rPr>
          <w:rFonts w:ascii="Times New Roman" w:hAnsi="Times New Roman" w:cs="Times New Roman"/>
          <w:szCs w:val="22"/>
          <w:highlight w:val="none"/>
        </w:rPr>
        <w:t>上发布。</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ascii="宋体" w:hAnsi="宋体" w:cs="宋体"/>
          <w:b/>
          <w:bCs/>
          <w:color w:val="000000"/>
          <w:sz w:val="24"/>
          <w:highlight w:val="none"/>
        </w:rPr>
      </w:pPr>
      <w:bookmarkStart w:id="12" w:name="_Toc321_WPSOffice_Level2"/>
      <w:bookmarkStart w:id="13" w:name="_Toc525632592"/>
      <w:bookmarkStart w:id="14" w:name="_Toc8501"/>
      <w:bookmarkStart w:id="15" w:name="_Toc28571_WPSOffice_Level2"/>
      <w:bookmarkStart w:id="16" w:name="_Toc14943_WPSOffice_Level2"/>
      <w:bookmarkStart w:id="17" w:name="_Toc26829"/>
      <w:bookmarkStart w:id="18" w:name="_Toc20572_WPSOffice_Level2"/>
      <w:r>
        <w:rPr>
          <w:rFonts w:hint="eastAsia" w:ascii="宋体" w:hAnsi="宋体" w:cs="宋体"/>
          <w:b/>
          <w:bCs/>
          <w:color w:val="000000"/>
          <w:sz w:val="24"/>
          <w:highlight w:val="none"/>
        </w:rPr>
        <w:t>9.采购人联系方式</w:t>
      </w:r>
      <w:bookmarkEnd w:id="12"/>
      <w:bookmarkEnd w:id="13"/>
      <w:bookmarkEnd w:id="14"/>
      <w:bookmarkEnd w:id="15"/>
      <w:bookmarkEnd w:id="16"/>
      <w:bookmarkEnd w:id="17"/>
      <w:bookmarkEnd w:id="18"/>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hint="eastAsia" w:ascii="Times New Roman" w:hAnsi="Times New Roman" w:cs="Times New Roman"/>
          <w:szCs w:val="22"/>
          <w:highlight w:val="none"/>
        </w:rPr>
        <w:t>9.1</w:t>
      </w:r>
      <w:r>
        <w:rPr>
          <w:rFonts w:ascii="Times New Roman" w:hAnsi="Times New Roman" w:cs="Times New Roman"/>
          <w:szCs w:val="22"/>
          <w:highlight w:val="none"/>
        </w:rPr>
        <w:t>采 购 人：安徽省交通控股集团有限公司养护管理中心</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地    址：合肥市蜀山区响洪甸路1200号</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 xml:space="preserve">联 系 人：开工  </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电    话：0551-68166051</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hint="eastAsia" w:ascii="Times New Roman" w:hAnsi="Times New Roman" w:cs="Times New Roman"/>
          <w:szCs w:val="22"/>
          <w:highlight w:val="none"/>
        </w:rPr>
        <w:t>9.2</w:t>
      </w:r>
      <w:r>
        <w:rPr>
          <w:rFonts w:ascii="Times New Roman" w:hAnsi="Times New Roman" w:cs="Times New Roman"/>
          <w:szCs w:val="22"/>
          <w:highlight w:val="none"/>
        </w:rPr>
        <w:t>代理机构：安徽皖运保险代理有限公司</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地    址：合肥市胜利路35号</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联 系 人：叶工</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电    话：13339293139</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ascii="Times New Roman" w:hAnsi="Times New Roman" w:cs="Times New Roman"/>
          <w:szCs w:val="22"/>
        </w:rPr>
      </w:pPr>
    </w:p>
    <w:p>
      <w:pPr>
        <w:pStyle w:val="26"/>
        <w:spacing w:line="360" w:lineRule="auto"/>
        <w:ind w:firstLine="420" w:firstLineChars="200"/>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6"/>
        <w:spacing w:line="360" w:lineRule="auto"/>
        <w:ind w:firstLine="420" w:firstLineChars="200"/>
        <w:jc w:val="right"/>
        <w:rPr>
          <w:rFonts w:hint="default" w:ascii="Times New Roman" w:hAnsi="Times New Roman"/>
          <w:color w:val="auto"/>
          <w:szCs w:val="28"/>
          <w:highlight w:val="none"/>
        </w:rPr>
      </w:pPr>
      <w:r>
        <w:rPr>
          <w:rFonts w:ascii="Times New Roman" w:hAnsi="Times New Roman"/>
          <w:color w:val="auto"/>
          <w:sz w:val="21"/>
          <w:szCs w:val="22"/>
          <w:highlight w:val="none"/>
        </w:rPr>
        <w:t>2021</w:t>
      </w:r>
      <w:r>
        <w:rPr>
          <w:rFonts w:hint="default" w:ascii="Times New Roman" w:hAnsi="Times New Roman"/>
          <w:color w:val="auto"/>
          <w:sz w:val="21"/>
          <w:szCs w:val="22"/>
          <w:highlight w:val="none"/>
        </w:rPr>
        <w:t>年</w:t>
      </w:r>
      <w:r>
        <w:rPr>
          <w:rFonts w:ascii="Times New Roman" w:hAnsi="Times New Roman"/>
          <w:color w:val="auto"/>
          <w:sz w:val="21"/>
          <w:szCs w:val="22"/>
          <w:highlight w:val="none"/>
        </w:rPr>
        <w:t>1</w:t>
      </w:r>
      <w:r>
        <w:rPr>
          <w:rFonts w:hint="default" w:ascii="Times New Roman" w:hAnsi="Times New Roman"/>
          <w:color w:val="auto"/>
          <w:sz w:val="21"/>
          <w:szCs w:val="22"/>
          <w:highlight w:val="none"/>
        </w:rPr>
        <w:t>月</w:t>
      </w:r>
      <w:r>
        <w:rPr>
          <w:rFonts w:ascii="Times New Roman" w:hAnsi="Times New Roman"/>
          <w:color w:val="auto"/>
          <w:sz w:val="21"/>
          <w:szCs w:val="22"/>
          <w:highlight w:val="none"/>
        </w:rPr>
        <w:t>18</w:t>
      </w:r>
      <w:r>
        <w:rPr>
          <w:rFonts w:hint="default" w:ascii="Times New Roman" w:hAnsi="Times New Roman"/>
          <w:color w:val="auto"/>
          <w:sz w:val="21"/>
          <w:szCs w:val="22"/>
          <w:highlight w:val="none"/>
        </w:rPr>
        <w:t>日</w:t>
      </w:r>
    </w:p>
    <w:p>
      <w:pPr>
        <w:pStyle w:val="3"/>
        <w:numPr>
          <w:ilvl w:val="255"/>
          <w:numId w:val="0"/>
        </w:numPr>
        <w:spacing w:before="312" w:after="312"/>
        <w:rPr>
          <w:rFonts w:ascii="Times New Roman" w:hAnsi="Times New Roman" w:eastAsia="宋体" w:cs="Times New Roman"/>
        </w:rPr>
      </w:pPr>
      <w:bookmarkStart w:id="19" w:name="_Toc5482"/>
      <w:r>
        <w:rPr>
          <w:rFonts w:hint="eastAsia" w:ascii="Times New Roman" w:hAnsi="Times New Roman" w:eastAsia="宋体" w:cs="Times New Roman"/>
        </w:rPr>
        <w:t xml:space="preserve">第二章  </w:t>
      </w:r>
      <w:r>
        <w:rPr>
          <w:rFonts w:ascii="Times New Roman" w:hAnsi="Times New Roman" w:eastAsia="宋体" w:cs="Times New Roman"/>
        </w:rPr>
        <w:t>供应商须知</w:t>
      </w:r>
      <w:bookmarkEnd w:id="19"/>
      <w:bookmarkStart w:id="256" w:name="_GoBack"/>
      <w:bookmarkEnd w:id="256"/>
    </w:p>
    <w:p>
      <w:pPr>
        <w:keepNext/>
        <w:keepLines/>
        <w:spacing w:beforeLines="50" w:afterLines="50" w:line="360" w:lineRule="auto"/>
        <w:rPr>
          <w:rFonts w:ascii="Times New Roman" w:hAnsi="Times New Roman" w:eastAsia="黑体" w:cs="Times New Roman"/>
          <w:bCs/>
          <w:sz w:val="24"/>
          <w:szCs w:val="32"/>
        </w:rPr>
      </w:pPr>
      <w:bookmarkStart w:id="20" w:name="_Toc14201207"/>
      <w:bookmarkStart w:id="21" w:name="_Toc9067720"/>
      <w:bookmarkStart w:id="22" w:name="_Toc26656938"/>
      <w:r>
        <w:rPr>
          <w:rFonts w:ascii="Times New Roman" w:hAnsi="Times New Roman" w:eastAsia="黑体" w:cs="Times New Roman"/>
          <w:bCs/>
          <w:sz w:val="24"/>
          <w:szCs w:val="32"/>
        </w:rPr>
        <w:t>1. 总则</w:t>
      </w:r>
      <w:bookmarkEnd w:id="20"/>
      <w:bookmarkEnd w:id="21"/>
      <w:bookmarkEnd w:id="22"/>
    </w:p>
    <w:p>
      <w:pPr>
        <w:keepNext/>
        <w:keepLines/>
        <w:spacing w:before="120" w:after="120"/>
        <w:rPr>
          <w:rFonts w:ascii="Times New Roman" w:hAnsi="Times New Roman" w:eastAsia="黑体" w:cs="Times New Roman"/>
          <w:bCs/>
          <w:sz w:val="24"/>
          <w:szCs w:val="32"/>
        </w:rPr>
      </w:pPr>
      <w:bookmarkStart w:id="23" w:name="_Toc14201208"/>
      <w:bookmarkStart w:id="24" w:name="_Toc26656939"/>
      <w:r>
        <w:rPr>
          <w:rFonts w:ascii="Times New Roman" w:hAnsi="Times New Roman" w:eastAsia="黑体" w:cs="Times New Roman"/>
          <w:bCs/>
          <w:sz w:val="24"/>
          <w:szCs w:val="32"/>
        </w:rPr>
        <w:t xml:space="preserve">1.1 </w:t>
      </w:r>
      <w:bookmarkEnd w:id="23"/>
      <w:bookmarkEnd w:id="24"/>
      <w:bookmarkStart w:id="25" w:name="_Toc14201210"/>
      <w:bookmarkStart w:id="26" w:name="_Toc26656941"/>
      <w:r>
        <w:rPr>
          <w:rFonts w:ascii="Times New Roman" w:hAnsi="Times New Roman" w:eastAsia="黑体" w:cs="Times New Roman"/>
          <w:bCs/>
          <w:sz w:val="24"/>
          <w:szCs w:val="32"/>
        </w:rPr>
        <w:t>质量要求和安全</w:t>
      </w:r>
      <w:bookmarkEnd w:id="25"/>
      <w:bookmarkEnd w:id="26"/>
      <w:r>
        <w:rPr>
          <w:rFonts w:hint="eastAsia" w:ascii="Times New Roman" w:hAnsi="Times New Roman" w:eastAsia="黑体" w:cs="Times New Roman"/>
          <w:bCs/>
          <w:sz w:val="24"/>
          <w:szCs w:val="32"/>
        </w:rPr>
        <w:t>目标</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 xml:space="preserve"> 本合同包的质量要求：</w:t>
      </w:r>
      <w:r>
        <w:rPr>
          <w:rFonts w:hint="eastAsia"/>
          <w:szCs w:val="21"/>
          <w:u w:val="single"/>
        </w:rPr>
        <w:t>满足询比文件要求</w:t>
      </w:r>
      <w:r>
        <w:rPr>
          <w:rFonts w:hint="eastAsia"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本合同包的安全目标：</w:t>
      </w:r>
      <w:r>
        <w:rPr>
          <w:rFonts w:hint="eastAsia"/>
          <w:szCs w:val="21"/>
          <w:u w:val="single"/>
        </w:rPr>
        <w:t>无安全责任事故</w:t>
      </w:r>
      <w:r>
        <w:rPr>
          <w:rFonts w:hint="eastAsia" w:ascii="Times New Roman" w:hAnsi="Times New Roman" w:cs="Times New Roman"/>
          <w:szCs w:val="21"/>
        </w:rPr>
        <w:t>。</w:t>
      </w:r>
    </w:p>
    <w:p>
      <w:pPr>
        <w:keepNext/>
        <w:keepLines/>
        <w:spacing w:before="120" w:after="120"/>
        <w:rPr>
          <w:rFonts w:ascii="Times New Roman" w:hAnsi="Times New Roman" w:eastAsia="黑体" w:cs="Times New Roman"/>
          <w:bCs/>
          <w:sz w:val="24"/>
          <w:szCs w:val="32"/>
        </w:rPr>
      </w:pPr>
      <w:bookmarkStart w:id="27" w:name="_Toc14201211"/>
      <w:bookmarkStart w:id="28" w:name="_Toc26656942"/>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bookmarkEnd w:id="27"/>
      <w:bookmarkEnd w:id="28"/>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服务</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采购公告第3.1款要求</w:t>
      </w:r>
      <w:r>
        <w:rPr>
          <w:rFonts w:ascii="Times New Roman" w:hAnsi="Times New Roman" w:cs="Times New Roman"/>
          <w:szCs w:val="21"/>
        </w:rPr>
        <w:t>。</w:t>
      </w:r>
    </w:p>
    <w:p>
      <w:pPr>
        <w:keepNext/>
        <w:keepLines/>
        <w:spacing w:before="120" w:after="120"/>
        <w:rPr>
          <w:rFonts w:ascii="Times New Roman" w:hAnsi="Times New Roman" w:eastAsia="黑体" w:cs="Times New Roman"/>
          <w:bCs/>
          <w:sz w:val="24"/>
          <w:szCs w:val="32"/>
        </w:rPr>
      </w:pPr>
      <w:bookmarkStart w:id="29" w:name="_Toc14201212"/>
      <w:bookmarkStart w:id="30" w:name="_Toc26656943"/>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bookmarkEnd w:id="29"/>
      <w:bookmarkEnd w:id="30"/>
    </w:p>
    <w:p>
      <w:pPr>
        <w:spacing w:line="440" w:lineRule="exact"/>
        <w:ind w:firstLine="420"/>
        <w:rPr>
          <w:rFonts w:ascii="Times New Roman" w:hAnsi="Times New Roman" w:cs="Times New Roman"/>
          <w:szCs w:val="21"/>
        </w:rPr>
      </w:pPr>
      <w:r>
        <w:rPr>
          <w:rFonts w:hint="eastAsia" w:ascii="Times New Roman" w:hAnsi="Times New Roman" w:cs="Times New Roman"/>
          <w:szCs w:val="21"/>
        </w:rPr>
        <w:t>1.3.1</w:t>
      </w:r>
      <w:r>
        <w:rPr>
          <w:rFonts w:ascii="Times New Roman" w:hAnsi="Times New Roman" w:cs="Times New Roman"/>
          <w:szCs w:val="21"/>
        </w:rPr>
        <w:t>供应商准备和参加询比活动发生的费用自理。</w:t>
      </w:r>
    </w:p>
    <w:p>
      <w:pPr>
        <w:spacing w:line="440" w:lineRule="exact"/>
        <w:ind w:firstLine="420"/>
        <w:rPr>
          <w:b/>
          <w:bCs/>
        </w:rPr>
      </w:pPr>
      <w:r>
        <w:rPr>
          <w:rFonts w:hint="eastAsia" w:ascii="Times New Roman" w:hAnsi="Times New Roman" w:cs="Times New Roman"/>
          <w:b/>
          <w:bCs/>
          <w:szCs w:val="21"/>
        </w:rPr>
        <w:t>1.3.2</w:t>
      </w:r>
      <w:r>
        <w:rPr>
          <w:rFonts w:hint="eastAsia"/>
          <w:b/>
          <w:bCs/>
        </w:rPr>
        <w:t>本项目的项目代理服务费由竞标人自行报价，代理服务费</w:t>
      </w:r>
      <w:r>
        <w:rPr>
          <w:rFonts w:hint="eastAsia" w:cs="宋体"/>
          <w:b/>
          <w:bCs/>
          <w:szCs w:val="21"/>
        </w:rPr>
        <w:t>作为代理报酬由成交人支付，以第六章响应文件格式（七）代理费用确认函形式确认。</w:t>
      </w:r>
    </w:p>
    <w:p>
      <w:pPr>
        <w:keepNext/>
        <w:keepLines/>
        <w:spacing w:before="120" w:after="120"/>
        <w:rPr>
          <w:rFonts w:ascii="Times New Roman" w:hAnsi="Times New Roman" w:eastAsia="黑体" w:cs="Times New Roman"/>
          <w:bCs/>
          <w:sz w:val="24"/>
          <w:szCs w:val="32"/>
        </w:rPr>
      </w:pPr>
      <w:bookmarkStart w:id="31" w:name="_Toc14201213"/>
      <w:bookmarkStart w:id="32" w:name="_Toc26656944"/>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bookmarkEnd w:id="31"/>
      <w:bookmarkEnd w:id="32"/>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rPr>
          <w:rFonts w:ascii="Times New Roman" w:hAnsi="Times New Roman" w:eastAsia="黑体" w:cs="Times New Roman"/>
          <w:bCs/>
          <w:sz w:val="24"/>
          <w:szCs w:val="32"/>
        </w:rPr>
      </w:pPr>
      <w:bookmarkStart w:id="33" w:name="_Toc26656946"/>
      <w:bookmarkStart w:id="34" w:name="_Toc14201215"/>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bookmarkEnd w:id="33"/>
      <w:bookmarkEnd w:id="34"/>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rPr>
          <w:rFonts w:ascii="Times New Roman" w:hAnsi="Times New Roman" w:eastAsia="黑体" w:cs="Times New Roman"/>
          <w:bCs/>
          <w:sz w:val="24"/>
          <w:szCs w:val="32"/>
        </w:rPr>
      </w:pPr>
      <w:bookmarkStart w:id="35" w:name="_Toc14201216"/>
      <w:bookmarkStart w:id="36" w:name="_Toc26656947"/>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bookmarkEnd w:id="35"/>
      <w:bookmarkEnd w:id="36"/>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rPr>
          <w:rFonts w:ascii="Times New Roman" w:hAnsi="Times New Roman" w:eastAsia="黑体" w:cs="Times New Roman"/>
          <w:bCs/>
          <w:sz w:val="24"/>
          <w:szCs w:val="32"/>
        </w:rPr>
      </w:pPr>
      <w:bookmarkStart w:id="37" w:name="_Toc14201218"/>
      <w:bookmarkStart w:id="38" w:name="_Toc26656949"/>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bookmarkEnd w:id="37"/>
      <w:bookmarkEnd w:id="38"/>
    </w:p>
    <w:p>
      <w:pPr>
        <w:spacing w:line="440" w:lineRule="exact"/>
        <w:ind w:firstLine="420"/>
        <w:rPr>
          <w:rFonts w:ascii="Times New Roman" w:hAnsi="Times New Roman" w:cs="Times New Roman"/>
        </w:rPr>
      </w:pPr>
      <w:r>
        <w:rPr>
          <w:rFonts w:hint="eastAsia" w:ascii="Times New Roman" w:hAnsi="Times New Roman" w:cs="Times New Roman"/>
        </w:rPr>
        <w:t xml:space="preserve">不允许分包。        </w:t>
      </w:r>
    </w:p>
    <w:p>
      <w:pPr>
        <w:keepNext/>
        <w:keepLines/>
        <w:spacing w:before="120" w:after="120"/>
        <w:rPr>
          <w:rFonts w:ascii="Times New Roman" w:hAnsi="Times New Roman" w:eastAsia="黑体" w:cs="Times New Roman"/>
          <w:bCs/>
          <w:sz w:val="24"/>
          <w:szCs w:val="32"/>
        </w:rPr>
      </w:pPr>
      <w:bookmarkStart w:id="39" w:name="_Toc26656950"/>
      <w:bookmarkStart w:id="40" w:name="_Toc14201219"/>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bookmarkEnd w:id="39"/>
      <w:bookmarkEnd w:id="40"/>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Lines="50" w:afterLines="50"/>
        <w:rPr>
          <w:rFonts w:ascii="Times New Roman" w:hAnsi="Times New Roman" w:eastAsia="黑体" w:cs="Times New Roman"/>
          <w:bCs/>
          <w:sz w:val="24"/>
          <w:szCs w:val="32"/>
        </w:rPr>
      </w:pPr>
      <w:bookmarkStart w:id="41" w:name="_Toc14201220"/>
      <w:bookmarkStart w:id="42" w:name="_Toc9067721"/>
      <w:bookmarkStart w:id="43" w:name="_Toc26656951"/>
      <w:r>
        <w:rPr>
          <w:rFonts w:ascii="Times New Roman" w:hAnsi="Times New Roman" w:eastAsia="黑体" w:cs="Times New Roman"/>
          <w:bCs/>
          <w:sz w:val="24"/>
          <w:szCs w:val="32"/>
        </w:rPr>
        <w:t xml:space="preserve">2. </w:t>
      </w:r>
      <w:bookmarkEnd w:id="41"/>
      <w:bookmarkEnd w:id="42"/>
      <w:bookmarkEnd w:id="43"/>
      <w:r>
        <w:rPr>
          <w:rFonts w:ascii="Times New Roman" w:hAnsi="Times New Roman" w:eastAsia="黑体" w:cs="Times New Roman"/>
          <w:bCs/>
          <w:sz w:val="24"/>
          <w:szCs w:val="32"/>
        </w:rPr>
        <w:t>询比文件</w:t>
      </w:r>
    </w:p>
    <w:p>
      <w:pPr>
        <w:keepNext/>
        <w:keepLines/>
        <w:spacing w:before="120" w:after="120"/>
        <w:rPr>
          <w:rFonts w:ascii="Times New Roman" w:hAnsi="Times New Roman" w:eastAsia="黑体" w:cs="Times New Roman"/>
          <w:bCs/>
          <w:sz w:val="24"/>
          <w:szCs w:val="32"/>
        </w:rPr>
      </w:pPr>
      <w:bookmarkStart w:id="44" w:name="_Toc14201221"/>
      <w:bookmarkStart w:id="45" w:name="_Toc26656952"/>
      <w:r>
        <w:rPr>
          <w:rFonts w:ascii="Times New Roman" w:hAnsi="Times New Roman" w:eastAsia="黑体" w:cs="Times New Roman"/>
          <w:bCs/>
          <w:sz w:val="24"/>
          <w:szCs w:val="32"/>
        </w:rPr>
        <w:t>2.1 询比文件的组成</w:t>
      </w:r>
      <w:bookmarkEnd w:id="44"/>
      <w:bookmarkEnd w:id="45"/>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根据本章第2.2款和第2.3款对询比文件所作的澄清、修改，构成询比文件的组成部分。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rPr>
          <w:rFonts w:ascii="Times New Roman" w:hAnsi="Times New Roman" w:eastAsia="黑体" w:cs="Times New Roman"/>
          <w:bCs/>
          <w:sz w:val="24"/>
          <w:szCs w:val="32"/>
        </w:rPr>
      </w:pPr>
      <w:bookmarkStart w:id="46" w:name="_Toc14201222"/>
      <w:bookmarkStart w:id="47" w:name="_Toc26656953"/>
      <w:r>
        <w:rPr>
          <w:rFonts w:ascii="Times New Roman" w:hAnsi="Times New Roman" w:eastAsia="黑体" w:cs="Times New Roman"/>
          <w:bCs/>
          <w:sz w:val="24"/>
          <w:szCs w:val="32"/>
        </w:rPr>
        <w:t>2.2 询比文件的澄清</w:t>
      </w:r>
      <w:bookmarkEnd w:id="46"/>
      <w:bookmarkEnd w:id="47"/>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联系招标代理机构确认递交书面材料</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Lines="50" w:afterLines="50"/>
        <w:rPr>
          <w:rFonts w:ascii="Times New Roman" w:hAnsi="Times New Roman" w:eastAsia="黑体" w:cs="Times New Roman"/>
          <w:bCs/>
          <w:sz w:val="24"/>
          <w:szCs w:val="32"/>
        </w:rPr>
      </w:pPr>
      <w:bookmarkStart w:id="48" w:name="_Toc9067722"/>
      <w:bookmarkStart w:id="49" w:name="_Toc14201225"/>
      <w:bookmarkStart w:id="50" w:name="_Toc26656956"/>
      <w:r>
        <w:rPr>
          <w:rFonts w:ascii="Times New Roman" w:hAnsi="Times New Roman" w:eastAsia="黑体" w:cs="Times New Roman"/>
          <w:bCs/>
          <w:sz w:val="24"/>
          <w:szCs w:val="32"/>
        </w:rPr>
        <w:t xml:space="preserve">3. </w:t>
      </w:r>
      <w:bookmarkEnd w:id="48"/>
      <w:bookmarkEnd w:id="49"/>
      <w:bookmarkEnd w:id="50"/>
      <w:r>
        <w:rPr>
          <w:rFonts w:ascii="Times New Roman" w:hAnsi="Times New Roman" w:eastAsia="黑体" w:cs="Times New Roman"/>
          <w:bCs/>
          <w:sz w:val="24"/>
          <w:szCs w:val="32"/>
        </w:rPr>
        <w:t>响应文件</w:t>
      </w:r>
    </w:p>
    <w:p>
      <w:pPr>
        <w:keepNext/>
        <w:keepLines/>
        <w:spacing w:before="120" w:after="120"/>
        <w:rPr>
          <w:rFonts w:ascii="Times New Roman" w:hAnsi="Times New Roman" w:eastAsia="黑体" w:cs="Times New Roman"/>
          <w:bCs/>
          <w:sz w:val="24"/>
          <w:szCs w:val="32"/>
        </w:rPr>
      </w:pPr>
      <w:bookmarkStart w:id="51" w:name="_Toc26656957"/>
      <w:bookmarkStart w:id="52" w:name="_Toc14201226"/>
      <w:r>
        <w:rPr>
          <w:rFonts w:ascii="Times New Roman" w:hAnsi="Times New Roman" w:eastAsia="黑体" w:cs="Times New Roman"/>
          <w:bCs/>
          <w:sz w:val="24"/>
          <w:szCs w:val="32"/>
        </w:rPr>
        <w:t>3.1响应文件的组成</w:t>
      </w:r>
      <w:bookmarkEnd w:id="51"/>
      <w:bookmarkEnd w:id="52"/>
    </w:p>
    <w:p>
      <w:pPr>
        <w:spacing w:line="440" w:lineRule="exact"/>
        <w:ind w:firstLine="420"/>
        <w:rPr>
          <w:rFonts w:ascii="Times New Roman" w:hAnsi="Times New Roman" w:cs="Times New Roman"/>
        </w:rPr>
      </w:pPr>
      <w:r>
        <w:rPr>
          <w:rFonts w:ascii="Times New Roman" w:hAnsi="Times New Roman" w:cs="Times New Roman"/>
        </w:rPr>
        <w:t>3.1.1响应文件应包括下列内容：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（6）技术方案；</w:t>
      </w:r>
    </w:p>
    <w:p>
      <w:pPr>
        <w:spacing w:line="440" w:lineRule="exact"/>
        <w:ind w:firstLine="420"/>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其他材料</w:t>
      </w:r>
      <w:r>
        <w:rPr>
          <w:rFonts w:hint="eastAsia" w:ascii="Times New Roman" w:hAnsi="Times New Roman" w:cs="Times New Roman"/>
        </w:rPr>
        <w:t>。</w:t>
      </w:r>
    </w:p>
    <w:p>
      <w:pPr>
        <w:keepNext/>
        <w:keepLines/>
        <w:spacing w:before="120" w:after="120"/>
        <w:rPr>
          <w:rFonts w:ascii="Times New Roman" w:hAnsi="Times New Roman" w:eastAsia="黑体" w:cs="Times New Roman"/>
          <w:bCs/>
          <w:sz w:val="24"/>
          <w:szCs w:val="32"/>
        </w:rPr>
      </w:pPr>
      <w:bookmarkStart w:id="53" w:name="_Toc26656958"/>
      <w:bookmarkStart w:id="54" w:name="_Toc14201227"/>
      <w:r>
        <w:rPr>
          <w:rFonts w:ascii="Times New Roman" w:hAnsi="Times New Roman" w:eastAsia="黑体" w:cs="Times New Roman"/>
          <w:bCs/>
          <w:sz w:val="24"/>
          <w:szCs w:val="32"/>
        </w:rPr>
        <w:t>3.2 报价</w:t>
      </w:r>
      <w:bookmarkEnd w:id="53"/>
      <w:bookmarkEnd w:id="54"/>
      <w:r>
        <w:rPr>
          <w:rFonts w:ascii="Times New Roman" w:hAnsi="Times New Roman" w:eastAsia="黑体" w:cs="Times New Roman"/>
          <w:bCs/>
          <w:sz w:val="24"/>
          <w:szCs w:val="32"/>
        </w:rPr>
        <w:t xml:space="preserve">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单价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szCs w:val="21"/>
          <w:u w:val="single"/>
        </w:rPr>
        <w:t>本项目三年服务期内暂列5万元用于支付车辆车船费及新增车辆保险费用，据实列支，计入报价函总价</w:t>
      </w:r>
      <w:r>
        <w:rPr>
          <w:rFonts w:ascii="Times New Roman" w:hAnsi="Times New Roman" w:cs="Times New Roman"/>
          <w:u w:val="single"/>
        </w:rPr>
        <w:t>。</w:t>
      </w:r>
    </w:p>
    <w:p>
      <w:pPr>
        <w:keepNext/>
        <w:keepLines/>
        <w:spacing w:before="120" w:after="120"/>
        <w:rPr>
          <w:rFonts w:ascii="Times New Roman" w:hAnsi="Times New Roman" w:eastAsia="黑体" w:cs="Times New Roman"/>
          <w:bCs/>
          <w:sz w:val="24"/>
          <w:szCs w:val="32"/>
        </w:rPr>
      </w:pPr>
      <w:bookmarkStart w:id="55" w:name="_Toc26656959"/>
      <w:bookmarkStart w:id="56" w:name="_Toc14201228"/>
      <w:r>
        <w:rPr>
          <w:rFonts w:ascii="Times New Roman" w:hAnsi="Times New Roman" w:eastAsia="黑体" w:cs="Times New Roman"/>
          <w:bCs/>
          <w:sz w:val="24"/>
          <w:szCs w:val="32"/>
        </w:rPr>
        <w:t>3.3</w:t>
      </w:r>
      <w:bookmarkEnd w:id="55"/>
      <w:bookmarkEnd w:id="56"/>
      <w:r>
        <w:rPr>
          <w:rFonts w:ascii="Times New Roman" w:hAnsi="Times New Roman" w:eastAsia="黑体" w:cs="Times New Roman"/>
          <w:bCs/>
          <w:sz w:val="24"/>
          <w:szCs w:val="32"/>
        </w:rPr>
        <w:t>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rPr>
          <w:rFonts w:ascii="Times New Roman" w:hAnsi="Times New Roman" w:eastAsia="黑体" w:cs="Times New Roman"/>
          <w:bCs/>
          <w:sz w:val="24"/>
          <w:szCs w:val="32"/>
        </w:rPr>
      </w:pPr>
      <w:bookmarkStart w:id="57" w:name="_Toc26656960"/>
      <w:bookmarkStart w:id="58" w:name="_Toc14201229"/>
      <w:r>
        <w:rPr>
          <w:rFonts w:ascii="Times New Roman" w:hAnsi="Times New Roman" w:eastAsia="黑体" w:cs="Times New Roman"/>
          <w:bCs/>
          <w:sz w:val="24"/>
          <w:szCs w:val="32"/>
        </w:rPr>
        <w:t>3.4</w:t>
      </w:r>
      <w:bookmarkEnd w:id="57"/>
      <w:bookmarkEnd w:id="58"/>
      <w:r>
        <w:rPr>
          <w:rFonts w:ascii="Times New Roman" w:hAnsi="Times New Roman" w:eastAsia="黑体" w:cs="Times New Roman"/>
          <w:bCs/>
          <w:sz w:val="24"/>
          <w:szCs w:val="32"/>
        </w:rPr>
        <w:t>响应保证金</w:t>
      </w:r>
    </w:p>
    <w:p>
      <w:pPr>
        <w:spacing w:line="440" w:lineRule="exact"/>
        <w:ind w:firstLine="420"/>
        <w:rPr>
          <w:rFonts w:ascii="Times New Roman" w:hAnsi="Times New Roman" w:cs="Times New Roman"/>
        </w:rPr>
      </w:pPr>
      <w:r>
        <w:rPr>
          <w:rFonts w:hint="eastAsia" w:ascii="Times New Roman" w:hAnsi="Times New Roman" w:cs="Times New Roman"/>
        </w:rPr>
        <w:t>无</w:t>
      </w:r>
    </w:p>
    <w:p>
      <w:pPr>
        <w:keepNext/>
        <w:keepLines/>
        <w:spacing w:before="120" w:after="120"/>
        <w:rPr>
          <w:rFonts w:ascii="Times New Roman" w:hAnsi="Times New Roman" w:eastAsia="黑体" w:cs="Times New Roman"/>
          <w:bCs/>
          <w:sz w:val="24"/>
          <w:szCs w:val="32"/>
        </w:rPr>
      </w:pPr>
      <w:bookmarkStart w:id="59" w:name="_Toc26656961"/>
      <w:bookmarkStart w:id="60" w:name="_Toc14201230"/>
      <w:r>
        <w:rPr>
          <w:rFonts w:ascii="Times New Roman" w:hAnsi="Times New Roman" w:eastAsia="黑体" w:cs="Times New Roman"/>
          <w:bCs/>
          <w:sz w:val="24"/>
          <w:szCs w:val="32"/>
        </w:rPr>
        <w:t>3.5资格审查资料</w:t>
      </w:r>
      <w:bookmarkEnd w:id="59"/>
      <w:bookmarkEnd w:id="60"/>
    </w:p>
    <w:p>
      <w:pPr>
        <w:spacing w:line="42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规定提供资格审查资料，以证明其满足本章第1.4款规定的资质、业绩、信誉等要求。</w:t>
      </w:r>
    </w:p>
    <w:p>
      <w:pPr>
        <w:keepNext/>
        <w:keepLines/>
        <w:spacing w:before="120" w:after="120" w:line="420" w:lineRule="exact"/>
        <w:rPr>
          <w:rFonts w:ascii="Times New Roman" w:hAnsi="Times New Roman" w:eastAsia="黑体" w:cs="Times New Roman"/>
          <w:bCs/>
          <w:sz w:val="24"/>
          <w:szCs w:val="32"/>
        </w:rPr>
      </w:pPr>
      <w:bookmarkStart w:id="61" w:name="_Toc14201232"/>
      <w:bookmarkStart w:id="62" w:name="_Toc26656963"/>
      <w:r>
        <w:rPr>
          <w:rFonts w:ascii="Times New Roman" w:hAnsi="Times New Roman" w:eastAsia="黑体" w:cs="Times New Roman"/>
          <w:bCs/>
          <w:sz w:val="24"/>
          <w:szCs w:val="32"/>
        </w:rPr>
        <w:t>3.7响应文件的编制</w:t>
      </w:r>
      <w:bookmarkEnd w:id="61"/>
      <w:bookmarkEnd w:id="62"/>
    </w:p>
    <w:p>
      <w:pPr>
        <w:spacing w:line="420" w:lineRule="exact"/>
        <w:ind w:firstLine="420"/>
        <w:rPr>
          <w:rFonts w:ascii="Times New Roman" w:hAnsi="Times New Roman" w:cs="Times New Roman"/>
        </w:rPr>
      </w:pPr>
      <w:r>
        <w:rPr>
          <w:rFonts w:ascii="Times New Roman" w:hAnsi="Times New Roman" w:cs="Times New Roman"/>
        </w:rPr>
        <w:t>3.7.1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pPr>
        <w:spacing w:line="420" w:lineRule="exact"/>
        <w:ind w:firstLine="420"/>
        <w:rPr>
          <w:rFonts w:ascii="Times New Roman" w:hAnsi="Times New Roman" w:cs="Times New Roman"/>
        </w:rPr>
      </w:pPr>
      <w:r>
        <w:rPr>
          <w:rFonts w:ascii="Times New Roman" w:hAnsi="Times New Roman" w:cs="Times New Roman"/>
        </w:rPr>
        <w:t>3.7.2 响应文件应当对询比文件有关</w:t>
      </w:r>
      <w:r>
        <w:rPr>
          <w:rFonts w:hint="eastAsia" w:ascii="Times New Roman" w:hAnsi="Times New Roman" w:cs="Times New Roman"/>
        </w:rPr>
        <w:t>服务</w:t>
      </w:r>
      <w:r>
        <w:rPr>
          <w:rFonts w:ascii="Times New Roman" w:hAnsi="Times New Roman" w:cs="Times New Roman"/>
        </w:rPr>
        <w:t>期、响应有效期、质量要求、安全目标、技术标准和要求、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20" w:lineRule="exact"/>
        <w:ind w:firstLine="420"/>
        <w:rPr>
          <w:rFonts w:ascii="Times New Roman" w:hAnsi="Times New Roman" w:cs="Times New Roman"/>
        </w:rPr>
      </w:pPr>
      <w:r>
        <w:rPr>
          <w:rFonts w:ascii="Times New Roman" w:hAnsi="Times New Roman" w:cs="Times New Roman"/>
        </w:rPr>
        <w:t>3.7.3响应文件的制作应满足以下规定：</w:t>
      </w:r>
    </w:p>
    <w:p>
      <w:pPr>
        <w:spacing w:line="42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2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正本一份，副本</w:t>
      </w:r>
      <w:r>
        <w:rPr>
          <w:rFonts w:hint="eastAsia" w:ascii="Times New Roman" w:hAnsi="Times New Roman" w:cs="Times New Roman"/>
        </w:rPr>
        <w:t>一</w:t>
      </w:r>
      <w:r>
        <w:rPr>
          <w:rFonts w:ascii="Times New Roman" w:hAnsi="Times New Roman" w:cs="Times New Roman"/>
        </w:rPr>
        <w:t>份数。正本和副本的封面右上角上应清楚地标记“正本”或“副本”的字样。当副本和正本不一致时，以正本文件为准。</w:t>
      </w:r>
    </w:p>
    <w:p>
      <w:pPr>
        <w:spacing w:line="42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响应文件</w:t>
      </w:r>
      <w:r>
        <w:rPr>
          <w:rFonts w:ascii="Times New Roman" w:hAnsi="Times New Roman" w:cs="Times New Roman"/>
        </w:rPr>
        <w:t>的正本与副本应分别装订。</w:t>
      </w:r>
    </w:p>
    <w:p>
      <w:pPr>
        <w:keepNext/>
        <w:keepLines/>
        <w:spacing w:beforeLines="50" w:afterLines="50"/>
        <w:rPr>
          <w:rFonts w:ascii="Times New Roman" w:hAnsi="Times New Roman" w:eastAsia="黑体" w:cs="Times New Roman"/>
          <w:bCs/>
          <w:sz w:val="24"/>
          <w:szCs w:val="32"/>
        </w:rPr>
      </w:pPr>
      <w:bookmarkStart w:id="63" w:name="_Toc26656964"/>
      <w:bookmarkStart w:id="64" w:name="_Toc14201233"/>
      <w:bookmarkStart w:id="65" w:name="_Toc9067723"/>
      <w:r>
        <w:rPr>
          <w:rFonts w:ascii="Times New Roman" w:hAnsi="Times New Roman" w:eastAsia="黑体" w:cs="Times New Roman"/>
          <w:bCs/>
          <w:sz w:val="24"/>
          <w:szCs w:val="32"/>
        </w:rPr>
        <w:t xml:space="preserve">4. </w:t>
      </w:r>
      <w:bookmarkEnd w:id="63"/>
      <w:bookmarkEnd w:id="64"/>
      <w:bookmarkEnd w:id="65"/>
      <w:r>
        <w:rPr>
          <w:rFonts w:ascii="Times New Roman" w:hAnsi="Times New Roman" w:eastAsia="黑体" w:cs="Times New Roman"/>
          <w:bCs/>
          <w:sz w:val="24"/>
          <w:szCs w:val="32"/>
        </w:rPr>
        <w:t>响应文件的递交</w:t>
      </w:r>
    </w:p>
    <w:p>
      <w:pPr>
        <w:keepNext/>
        <w:keepLines/>
        <w:spacing w:before="120" w:after="120"/>
        <w:rPr>
          <w:rFonts w:ascii="Times New Roman" w:hAnsi="Times New Roman" w:eastAsia="黑体" w:cs="Times New Roman"/>
          <w:bCs/>
          <w:sz w:val="24"/>
          <w:szCs w:val="32"/>
        </w:rPr>
      </w:pPr>
      <w:bookmarkStart w:id="66" w:name="_Toc14201234"/>
      <w:bookmarkStart w:id="67" w:name="_Toc26656965"/>
      <w:r>
        <w:rPr>
          <w:rFonts w:ascii="Times New Roman" w:hAnsi="Times New Roman" w:eastAsia="黑体" w:cs="Times New Roman"/>
          <w:bCs/>
          <w:sz w:val="24"/>
          <w:szCs w:val="32"/>
        </w:rPr>
        <w:t>4.1响应文件的密封和标记</w:t>
      </w:r>
      <w:bookmarkEnd w:id="66"/>
      <w:bookmarkEnd w:id="67"/>
    </w:p>
    <w:p>
      <w:pPr>
        <w:spacing w:line="42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2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2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合同包响应文件</w:t>
      </w:r>
    </w:p>
    <w:p>
      <w:pPr>
        <w:spacing w:line="42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20" w:lineRule="exact"/>
        <w:ind w:firstLine="420"/>
        <w:rPr>
          <w:rFonts w:ascii="Times New Roman" w:hAnsi="Times New Roman" w:cs="Times New Roman"/>
        </w:rPr>
      </w:pPr>
      <w:r>
        <w:rPr>
          <w:rFonts w:ascii="Times New Roman" w:hAnsi="Times New Roman" w:cs="Times New Roman"/>
        </w:rPr>
        <w:t>4.1.2</w:t>
      </w:r>
      <w:r>
        <w:rPr>
          <w:rFonts w:ascii="Times New Roman" w:hAnsi="Times New Roman"/>
          <w:color w:val="000000"/>
        </w:rPr>
        <w:t>未按本章第4.1.1项</w:t>
      </w:r>
      <w:r>
        <w:rPr>
          <w:rFonts w:ascii="Times New Roman" w:hAnsi="Times New Roman" w:cs="Times New Roman"/>
          <w:color w:val="000000"/>
        </w:rPr>
        <w:t>要求</w:t>
      </w:r>
      <w:r>
        <w:rPr>
          <w:rFonts w:ascii="Times New Roman" w:hAnsi="Times New Roman"/>
          <w:color w:val="000000"/>
        </w:rPr>
        <w:t>密封的</w:t>
      </w:r>
      <w:r>
        <w:rPr>
          <w:rFonts w:hint="eastAsia" w:ascii="Times New Roman" w:hAnsi="Times New Roman"/>
          <w:color w:val="000000"/>
        </w:rPr>
        <w:t>响应文件</w:t>
      </w:r>
      <w:r>
        <w:rPr>
          <w:rFonts w:ascii="Times New Roman" w:hAnsi="Times New Roman"/>
          <w:color w:val="000000"/>
        </w:rPr>
        <w:t>，</w:t>
      </w:r>
      <w:r>
        <w:rPr>
          <w:rFonts w:hint="eastAsia" w:ascii="Times New Roman" w:hAnsi="Times New Roman"/>
          <w:color w:val="000000"/>
        </w:rPr>
        <w:t>采购人</w:t>
      </w:r>
      <w:r>
        <w:rPr>
          <w:rFonts w:ascii="Times New Roman" w:hAnsi="Times New Roman"/>
          <w:color w:val="000000"/>
        </w:rPr>
        <w:t>将予以拒收。</w:t>
      </w:r>
    </w:p>
    <w:p>
      <w:pPr>
        <w:keepNext/>
        <w:keepLines/>
        <w:spacing w:before="120" w:after="120" w:line="420" w:lineRule="exact"/>
        <w:rPr>
          <w:rFonts w:ascii="Times New Roman" w:hAnsi="Times New Roman" w:eastAsia="黑体" w:cs="Times New Roman"/>
          <w:bCs/>
          <w:sz w:val="24"/>
          <w:szCs w:val="32"/>
        </w:rPr>
      </w:pPr>
      <w:bookmarkStart w:id="68" w:name="_Toc14201235"/>
      <w:bookmarkStart w:id="69" w:name="_Toc26656966"/>
      <w:r>
        <w:rPr>
          <w:rFonts w:ascii="Times New Roman" w:hAnsi="Times New Roman" w:eastAsia="黑体" w:cs="Times New Roman"/>
          <w:bCs/>
          <w:sz w:val="24"/>
          <w:szCs w:val="32"/>
        </w:rPr>
        <w:t>4.2 响应文件的递交</w:t>
      </w:r>
      <w:bookmarkEnd w:id="68"/>
      <w:bookmarkEnd w:id="69"/>
    </w:p>
    <w:p>
      <w:pPr>
        <w:spacing w:line="42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2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2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Lines="50" w:afterLines="50"/>
        <w:rPr>
          <w:rFonts w:ascii="Times New Roman" w:hAnsi="Times New Roman" w:eastAsia="黑体" w:cs="Times New Roman"/>
          <w:bCs/>
          <w:sz w:val="24"/>
          <w:szCs w:val="32"/>
        </w:rPr>
      </w:pPr>
      <w:bookmarkStart w:id="70" w:name="_Toc14201237"/>
      <w:bookmarkStart w:id="71" w:name="_Toc26656968"/>
      <w:bookmarkStart w:id="72" w:name="_Toc9067724"/>
      <w:r>
        <w:rPr>
          <w:rFonts w:ascii="Times New Roman" w:hAnsi="Times New Roman" w:eastAsia="黑体" w:cs="Times New Roman"/>
          <w:bCs/>
          <w:sz w:val="24"/>
          <w:szCs w:val="32"/>
        </w:rPr>
        <w:t xml:space="preserve">5. </w:t>
      </w:r>
      <w:bookmarkEnd w:id="70"/>
      <w:bookmarkEnd w:id="71"/>
      <w:bookmarkEnd w:id="72"/>
      <w:r>
        <w:rPr>
          <w:rFonts w:ascii="Times New Roman" w:hAnsi="Times New Roman" w:eastAsia="黑体" w:cs="Times New Roman"/>
          <w:bCs/>
          <w:sz w:val="24"/>
          <w:szCs w:val="32"/>
        </w:rPr>
        <w:t>启封</w:t>
      </w:r>
    </w:p>
    <w:p>
      <w:pPr>
        <w:keepNext/>
        <w:keepLines/>
        <w:spacing w:before="120" w:after="120"/>
        <w:rPr>
          <w:rFonts w:ascii="Times New Roman" w:hAnsi="Times New Roman" w:eastAsia="黑体" w:cs="Times New Roman"/>
          <w:bCs/>
          <w:sz w:val="24"/>
          <w:szCs w:val="32"/>
        </w:rPr>
      </w:pPr>
      <w:bookmarkStart w:id="73" w:name="_Toc14201238"/>
      <w:bookmarkStart w:id="74" w:name="_Toc26656969"/>
      <w:r>
        <w:rPr>
          <w:rFonts w:ascii="Times New Roman" w:hAnsi="Times New Roman" w:eastAsia="黑体" w:cs="Times New Roman"/>
          <w:bCs/>
          <w:sz w:val="24"/>
          <w:szCs w:val="32"/>
        </w:rPr>
        <w:t>5.1 启封时间和地点</w:t>
      </w:r>
      <w:bookmarkEnd w:id="73"/>
      <w:bookmarkEnd w:id="74"/>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rPr>
          <w:rFonts w:ascii="Times New Roman" w:hAnsi="Times New Roman" w:eastAsia="黑体" w:cs="Times New Roman"/>
          <w:bCs/>
          <w:sz w:val="24"/>
          <w:szCs w:val="32"/>
        </w:rPr>
      </w:pPr>
      <w:bookmarkStart w:id="75" w:name="_Toc14201239"/>
      <w:bookmarkStart w:id="76" w:name="_Toc26656970"/>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bookmarkEnd w:id="75"/>
      <w:bookmarkEnd w:id="76"/>
    </w:p>
    <w:p>
      <w:pPr>
        <w:spacing w:line="42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2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2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2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对响应文件进行启封，公布供应商名称、合同包名称、报价、质量目标、安全目标、</w:t>
      </w:r>
      <w:r>
        <w:rPr>
          <w:rFonts w:hint="eastAsia" w:ascii="Times New Roman" w:hAnsi="Times New Roman" w:cs="Times New Roman"/>
          <w:bCs/>
        </w:rPr>
        <w:t>服务</w:t>
      </w:r>
      <w:r>
        <w:rPr>
          <w:rFonts w:ascii="Times New Roman" w:hAnsi="Times New Roman" w:cs="Times New Roman"/>
          <w:bCs/>
        </w:rPr>
        <w:t>期、响应保证金递交情况及其他内容；</w:t>
      </w:r>
    </w:p>
    <w:p>
      <w:pPr>
        <w:spacing w:line="42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color w:val="000000"/>
        </w:rPr>
        <w:t>供应商</w:t>
      </w:r>
      <w:r>
        <w:rPr>
          <w:rFonts w:ascii="Times New Roman" w:hAnsi="Times New Roman"/>
          <w:color w:val="000000"/>
        </w:rPr>
        <w:t>代表、</w:t>
      </w:r>
      <w:r>
        <w:rPr>
          <w:rFonts w:hint="eastAsia" w:ascii="Times New Roman" w:hAnsi="Times New Roman"/>
          <w:color w:val="000000"/>
        </w:rPr>
        <w:t>采购</w:t>
      </w:r>
      <w:r>
        <w:rPr>
          <w:rFonts w:ascii="Times New Roman" w:hAnsi="Times New Roman"/>
          <w:color w:val="000000"/>
        </w:rPr>
        <w:t>人代表、记录人等有关人员在</w:t>
      </w:r>
      <w:r>
        <w:rPr>
          <w:rFonts w:hint="eastAsia" w:ascii="Times New Roman" w:hAnsi="Times New Roman"/>
          <w:color w:val="000000"/>
        </w:rPr>
        <w:t>启封</w:t>
      </w:r>
      <w:r>
        <w:rPr>
          <w:rFonts w:ascii="Times New Roman" w:hAnsi="Times New Roman"/>
          <w:color w:val="000000"/>
        </w:rPr>
        <w:t>记录上</w:t>
      </w:r>
      <w:r>
        <w:rPr>
          <w:rFonts w:hint="eastAsia" w:ascii="Times New Roman" w:hAnsi="Times New Roman"/>
          <w:color w:val="000000"/>
        </w:rPr>
        <w:t>签名</w:t>
      </w:r>
      <w:r>
        <w:rPr>
          <w:rFonts w:ascii="Times New Roman" w:hAnsi="Times New Roman"/>
          <w:color w:val="000000"/>
        </w:rPr>
        <w:t>确认；</w:t>
      </w:r>
    </w:p>
    <w:p>
      <w:pPr>
        <w:spacing w:line="42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20" w:lineRule="exact"/>
        <w:ind w:firstLine="420"/>
        <w:rPr>
          <w:rFonts w:ascii="Times New Roman" w:hAnsi="Times New Roman" w:cs="Times New Roman"/>
          <w:bCs/>
        </w:rPr>
      </w:pPr>
      <w:r>
        <w:rPr>
          <w:rFonts w:ascii="Times New Roman" w:hAnsi="Times New Roman" w:cs="Times New Roman"/>
          <w:bCs/>
        </w:rPr>
        <w:t>5.2.2若采用合理低价法或综合评分法，在响应文件启封中，采购人将按第三章“评审办法”规定的原则计算并宣布评审基准价。若采购人发现响应文件出现以下任一情况，其报价将不再参加评审基准价的计算：</w:t>
      </w:r>
    </w:p>
    <w:p>
      <w:pPr>
        <w:spacing w:line="420" w:lineRule="exact"/>
        <w:ind w:firstLine="420"/>
        <w:rPr>
          <w:rFonts w:ascii="Times New Roman" w:hAnsi="Times New Roman" w:cs="Times New Roman"/>
          <w:bCs/>
        </w:rPr>
      </w:pPr>
      <w:r>
        <w:rPr>
          <w:rFonts w:ascii="Times New Roman" w:hAnsi="Times New Roman" w:cs="Times New Roman"/>
          <w:bCs/>
        </w:rPr>
        <w:t>（1）报价超出采购人公布的最高限价</w:t>
      </w:r>
      <w:r>
        <w:rPr>
          <w:rFonts w:hint="eastAsia" w:ascii="Times New Roman" w:hAnsi="Times New Roman" w:cs="Times New Roman"/>
          <w:bCs/>
        </w:rPr>
        <w:t>；</w:t>
      </w:r>
    </w:p>
    <w:p>
      <w:pPr>
        <w:spacing w:line="420" w:lineRule="exact"/>
        <w:ind w:firstLine="420"/>
        <w:rPr>
          <w:rFonts w:ascii="Times New Roman" w:hAnsi="Times New Roman" w:cs="Times New Roman"/>
          <w:bCs/>
        </w:rPr>
      </w:pPr>
      <w:r>
        <w:rPr>
          <w:rFonts w:hint="eastAsia" w:ascii="Times New Roman" w:hAnsi="Times New Roman" w:cs="Times New Roman"/>
          <w:bCs/>
        </w:rPr>
        <w:t>（2）</w:t>
      </w:r>
      <w:r>
        <w:rPr>
          <w:rFonts w:ascii="Times New Roman" w:hAnsi="Times New Roman" w:cs="Times New Roman"/>
          <w:bCs/>
        </w:rPr>
        <w:t>未在报价函上填写总报价</w:t>
      </w:r>
      <w:r>
        <w:rPr>
          <w:rFonts w:hint="eastAsia" w:ascii="Times New Roman" w:hAnsi="Times New Roman" w:cs="Times New Roman"/>
          <w:bCs/>
        </w:rPr>
        <w:t>；</w:t>
      </w:r>
    </w:p>
    <w:p>
      <w:pPr>
        <w:spacing w:line="420" w:lineRule="exact"/>
        <w:ind w:firstLine="420"/>
        <w:rPr>
          <w:rFonts w:ascii="Times New Roman" w:hAnsi="Times New Roman" w:cs="Times New Roman"/>
          <w:bCs/>
        </w:rPr>
      </w:pPr>
      <w:r>
        <w:rPr>
          <w:rFonts w:hint="eastAsia" w:ascii="Times New Roman" w:hAnsi="Times New Roman" w:cs="Times New Roman"/>
          <w:bCs/>
        </w:rPr>
        <w:t>（3）报价函中的报价与已标价的报价清单总报价不一致（四舍五入除外）</w:t>
      </w:r>
      <w:r>
        <w:rPr>
          <w:rFonts w:ascii="Times New Roman" w:hAnsi="Times New Roman" w:cs="Times New Roman"/>
          <w:bCs/>
        </w:rPr>
        <w:t>；</w:t>
      </w:r>
    </w:p>
    <w:p>
      <w:pPr>
        <w:spacing w:line="420" w:lineRule="exact"/>
        <w:ind w:firstLine="420"/>
        <w:rPr>
          <w:rFonts w:ascii="Times New Roman" w:hAnsi="Times New Roman" w:cs="Times New Roman"/>
          <w:bCs/>
        </w:rPr>
      </w:pPr>
      <w:r>
        <w:rPr>
          <w:rFonts w:hint="eastAsia" w:ascii="Times New Roman" w:hAnsi="Times New Roman" w:cs="Times New Roman"/>
          <w:bCs/>
        </w:rPr>
        <w:t>（4）未按要求提交响应保证金（如有）</w:t>
      </w:r>
      <w:r>
        <w:rPr>
          <w:rFonts w:ascii="Times New Roman" w:hAnsi="Times New Roman" w:cs="Times New Roman"/>
          <w:bCs/>
        </w:rPr>
        <w:t>。</w:t>
      </w:r>
    </w:p>
    <w:p>
      <w:pPr>
        <w:spacing w:line="420" w:lineRule="exact"/>
        <w:ind w:firstLine="420"/>
        <w:rPr>
          <w:rFonts w:ascii="Times New Roman" w:hAnsi="Times New Roman" w:cs="Times New Roman"/>
        </w:rPr>
      </w:pPr>
      <w:r>
        <w:rPr>
          <w:rFonts w:ascii="Times New Roman" w:hAnsi="Times New Roman" w:cs="Times New Roman"/>
          <w:bCs/>
        </w:rPr>
        <w:t>如果供应商认为某一合同包的评审基准价计算有误，有权在启封过程中提出，经采购人在启封过程中核实确认之后，可重新宣布评审基准价。启封标过程中公布的评审基准价除计算有误，经</w:t>
      </w:r>
      <w:r>
        <w:rPr>
          <w:rFonts w:hint="eastAsia" w:ascii="Times New Roman" w:hAnsi="Times New Roman" w:cs="Times New Roman"/>
          <w:bCs/>
        </w:rPr>
        <w:t>评审小组</w:t>
      </w:r>
      <w:r>
        <w:rPr>
          <w:rFonts w:ascii="Times New Roman" w:hAnsi="Times New Roman" w:cs="Times New Roman"/>
          <w:bCs/>
        </w:rPr>
        <w:t>修正外，在整个评审期间保持不变，不随任何因素发生变化。</w:t>
      </w:r>
    </w:p>
    <w:p>
      <w:pPr>
        <w:spacing w:line="420" w:lineRule="exact"/>
        <w:ind w:firstLine="420"/>
        <w:rPr>
          <w:rFonts w:ascii="Times New Roman" w:hAnsi="Times New Roman" w:cs="Times New Roman"/>
        </w:rPr>
      </w:pPr>
      <w:r>
        <w:rPr>
          <w:rFonts w:hint="eastAsia" w:ascii="Times New Roman" w:hAnsi="Times New Roman" w:cs="Times New Roman"/>
        </w:rPr>
        <w:t>5.2.3</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Lines="50" w:afterLines="50"/>
        <w:rPr>
          <w:rFonts w:ascii="Times New Roman" w:hAnsi="Times New Roman" w:eastAsia="黑体" w:cs="Times New Roman"/>
          <w:bCs/>
          <w:sz w:val="24"/>
          <w:szCs w:val="32"/>
        </w:rPr>
      </w:pPr>
      <w:bookmarkStart w:id="77" w:name="_Toc9067725"/>
      <w:bookmarkStart w:id="78" w:name="_Toc26656972"/>
      <w:bookmarkStart w:id="79" w:name="_Toc14201241"/>
      <w:r>
        <w:rPr>
          <w:rFonts w:ascii="Times New Roman" w:hAnsi="Times New Roman" w:eastAsia="黑体" w:cs="Times New Roman"/>
          <w:bCs/>
          <w:sz w:val="24"/>
          <w:szCs w:val="32"/>
        </w:rPr>
        <w:t>6. 评</w:t>
      </w:r>
      <w:bookmarkEnd w:id="77"/>
      <w:bookmarkEnd w:id="78"/>
      <w:bookmarkEnd w:id="79"/>
      <w:r>
        <w:rPr>
          <w:rFonts w:ascii="Times New Roman" w:hAnsi="Times New Roman" w:eastAsia="黑体" w:cs="Times New Roman"/>
          <w:bCs/>
          <w:sz w:val="24"/>
          <w:szCs w:val="32"/>
        </w:rPr>
        <w:t>审</w:t>
      </w:r>
    </w:p>
    <w:p>
      <w:pPr>
        <w:keepNext/>
        <w:keepLines/>
        <w:spacing w:before="120" w:after="120"/>
        <w:rPr>
          <w:rFonts w:ascii="Times New Roman" w:hAnsi="Times New Roman" w:eastAsia="黑体" w:cs="Times New Roman"/>
          <w:bCs/>
          <w:sz w:val="24"/>
          <w:szCs w:val="32"/>
        </w:rPr>
      </w:pPr>
      <w:bookmarkStart w:id="80" w:name="_Toc26656973"/>
      <w:bookmarkStart w:id="81" w:name="_Toc14201242"/>
      <w:r>
        <w:rPr>
          <w:rFonts w:ascii="Times New Roman" w:hAnsi="Times New Roman" w:eastAsia="黑体" w:cs="Times New Roman"/>
          <w:bCs/>
          <w:sz w:val="24"/>
          <w:szCs w:val="32"/>
        </w:rPr>
        <w:t>6.1</w:t>
      </w:r>
      <w:bookmarkEnd w:id="80"/>
      <w:bookmarkEnd w:id="81"/>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rPr>
          <w:rFonts w:ascii="Times New Roman" w:hAnsi="Times New Roman" w:eastAsia="黑体" w:cs="Times New Roman"/>
          <w:bCs/>
          <w:sz w:val="24"/>
          <w:szCs w:val="32"/>
        </w:rPr>
      </w:pPr>
      <w:bookmarkStart w:id="82" w:name="_Toc14201244"/>
      <w:bookmarkStart w:id="83"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82"/>
      <w:bookmarkEnd w:id="83"/>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6.3.1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6.3.2评审完成后，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Lines="50" w:afterLines="50"/>
        <w:rPr>
          <w:rFonts w:ascii="Times New Roman" w:hAnsi="Times New Roman" w:eastAsia="黑体" w:cs="Times New Roman"/>
          <w:bCs/>
          <w:sz w:val="24"/>
          <w:szCs w:val="32"/>
        </w:rPr>
      </w:pPr>
      <w:bookmarkStart w:id="84" w:name="_Toc9067726"/>
      <w:bookmarkStart w:id="85" w:name="_Toc26656976"/>
      <w:bookmarkStart w:id="86" w:name="_Toc14201245"/>
      <w:r>
        <w:rPr>
          <w:rFonts w:ascii="Times New Roman" w:hAnsi="Times New Roman" w:eastAsia="黑体" w:cs="Times New Roman"/>
          <w:bCs/>
          <w:sz w:val="24"/>
          <w:szCs w:val="32"/>
        </w:rPr>
        <w:t>7. 合同授予</w:t>
      </w:r>
      <w:bookmarkEnd w:id="84"/>
      <w:bookmarkEnd w:id="85"/>
      <w:bookmarkEnd w:id="86"/>
    </w:p>
    <w:p>
      <w:pPr>
        <w:keepNext/>
        <w:keepLines/>
        <w:spacing w:before="120" w:after="120"/>
        <w:rPr>
          <w:rFonts w:ascii="Times New Roman" w:hAnsi="Times New Roman" w:eastAsia="黑体" w:cs="Times New Roman"/>
          <w:bCs/>
          <w:sz w:val="24"/>
          <w:szCs w:val="32"/>
        </w:rPr>
      </w:pPr>
      <w:bookmarkStart w:id="87" w:name="_Toc14201246"/>
      <w:bookmarkStart w:id="88" w:name="_Toc26656977"/>
      <w:r>
        <w:rPr>
          <w:rFonts w:ascii="Times New Roman" w:hAnsi="Times New Roman" w:eastAsia="黑体" w:cs="Times New Roman"/>
          <w:bCs/>
          <w:sz w:val="24"/>
          <w:szCs w:val="32"/>
        </w:rPr>
        <w:t>7.1成交候选人公示</w:t>
      </w:r>
      <w:bookmarkEnd w:id="87"/>
      <w:bookmarkEnd w:id="88"/>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rPr>
          <w:rFonts w:ascii="Times New Roman" w:hAnsi="Times New Roman" w:eastAsia="黑体" w:cs="Times New Roman"/>
          <w:bCs/>
          <w:sz w:val="24"/>
          <w:szCs w:val="32"/>
        </w:rPr>
      </w:pPr>
      <w:bookmarkStart w:id="89" w:name="_Toc14201247"/>
      <w:bookmarkStart w:id="90" w:name="_Toc26656978"/>
      <w:r>
        <w:rPr>
          <w:rFonts w:ascii="Times New Roman" w:hAnsi="Times New Roman" w:eastAsia="黑体" w:cs="Times New Roman"/>
          <w:bCs/>
          <w:sz w:val="24"/>
          <w:szCs w:val="32"/>
        </w:rPr>
        <w:t>7.2评审结果异议</w:t>
      </w:r>
      <w:bookmarkEnd w:id="89"/>
      <w:bookmarkEnd w:id="90"/>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rPr>
          <w:rFonts w:ascii="Times New Roman" w:hAnsi="Times New Roman" w:eastAsia="黑体" w:cs="Times New Roman"/>
          <w:bCs/>
          <w:sz w:val="24"/>
          <w:szCs w:val="32"/>
        </w:rPr>
      </w:pPr>
      <w:bookmarkStart w:id="91" w:name="_Toc26656979"/>
      <w:bookmarkStart w:id="92" w:name="_Toc14201248"/>
      <w:r>
        <w:rPr>
          <w:rFonts w:ascii="Times New Roman" w:hAnsi="Times New Roman" w:eastAsia="黑体" w:cs="Times New Roman"/>
          <w:bCs/>
          <w:sz w:val="24"/>
          <w:szCs w:val="32"/>
        </w:rPr>
        <w:t>7.3成交候选人履约能力审查</w:t>
      </w:r>
      <w:bookmarkEnd w:id="91"/>
      <w:bookmarkEnd w:id="92"/>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rPr>
          <w:rFonts w:ascii="Times New Roman" w:hAnsi="Times New Roman" w:eastAsia="黑体" w:cs="Times New Roman"/>
          <w:bCs/>
          <w:sz w:val="24"/>
          <w:szCs w:val="32"/>
        </w:rPr>
      </w:pPr>
      <w:bookmarkStart w:id="93" w:name="_Toc26656981"/>
      <w:bookmarkStart w:id="94" w:name="_Toc14201250"/>
      <w:r>
        <w:rPr>
          <w:rFonts w:ascii="Times New Roman" w:hAnsi="Times New Roman" w:eastAsia="黑体" w:cs="Times New Roman"/>
          <w:bCs/>
          <w:sz w:val="24"/>
          <w:szCs w:val="32"/>
        </w:rPr>
        <w:t>7.</w:t>
      </w:r>
      <w:bookmarkEnd w:id="93"/>
      <w:bookmarkEnd w:id="94"/>
      <w:bookmarkStart w:id="95" w:name="_Toc14201252"/>
      <w:bookmarkStart w:id="96" w:name="_Toc26656983"/>
      <w:r>
        <w:rPr>
          <w:rFonts w:ascii="Times New Roman" w:hAnsi="Times New Roman" w:eastAsia="黑体" w:cs="Times New Roman"/>
          <w:bCs/>
          <w:sz w:val="24"/>
          <w:szCs w:val="32"/>
        </w:rPr>
        <w:t>4履约保证金</w:t>
      </w:r>
      <w:bookmarkEnd w:id="95"/>
      <w:bookmarkEnd w:id="96"/>
    </w:p>
    <w:p>
      <w:pPr>
        <w:spacing w:line="440" w:lineRule="exact"/>
        <w:ind w:firstLine="420"/>
        <w:rPr>
          <w:rFonts w:ascii="Times New Roman" w:hAnsi="Times New Roman" w:cs="Times New Roman"/>
        </w:rPr>
      </w:pPr>
      <w:r>
        <w:rPr>
          <w:rFonts w:hint="eastAsia" w:ascii="Times New Roman" w:hAnsi="Times New Roman" w:cs="Times New Roman"/>
        </w:rPr>
        <w:t>无</w:t>
      </w:r>
    </w:p>
    <w:p>
      <w:pPr>
        <w:keepNext/>
        <w:keepLines/>
        <w:spacing w:before="120" w:after="120"/>
        <w:rPr>
          <w:rFonts w:ascii="Times New Roman" w:hAnsi="Times New Roman" w:eastAsia="黑体" w:cs="Times New Roman"/>
          <w:bCs/>
          <w:sz w:val="24"/>
          <w:szCs w:val="32"/>
        </w:rPr>
      </w:pPr>
      <w:bookmarkStart w:id="97" w:name="_Toc26656984"/>
      <w:bookmarkStart w:id="98" w:name="_Toc14201253"/>
      <w:r>
        <w:rPr>
          <w:rFonts w:ascii="Times New Roman" w:hAnsi="Times New Roman" w:eastAsia="黑体" w:cs="Times New Roman"/>
          <w:bCs/>
          <w:sz w:val="24"/>
          <w:szCs w:val="32"/>
        </w:rPr>
        <w:t>7.5签订合同</w:t>
      </w:r>
      <w:bookmarkEnd w:id="97"/>
      <w:bookmarkEnd w:id="98"/>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Lines="50" w:afterLines="50"/>
        <w:rPr>
          <w:rFonts w:ascii="Times New Roman" w:hAnsi="Times New Roman" w:eastAsia="黑体" w:cs="Times New Roman"/>
          <w:bCs/>
          <w:sz w:val="24"/>
          <w:szCs w:val="32"/>
        </w:rPr>
      </w:pPr>
      <w:bookmarkStart w:id="99" w:name="_Toc26656988"/>
      <w:bookmarkStart w:id="100" w:name="_Toc14201257"/>
      <w:bookmarkStart w:id="101" w:name="_Toc9067727"/>
      <w:r>
        <w:rPr>
          <w:rFonts w:ascii="Times New Roman" w:hAnsi="Times New Roman" w:eastAsia="黑体" w:cs="Times New Roman"/>
          <w:bCs/>
          <w:sz w:val="24"/>
          <w:szCs w:val="32"/>
        </w:rPr>
        <w:t>8. 纪律和监督</w:t>
      </w:r>
      <w:bookmarkEnd w:id="99"/>
      <w:bookmarkEnd w:id="100"/>
      <w:bookmarkEnd w:id="101"/>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Lines="50" w:afterLines="50"/>
        <w:rPr>
          <w:rFonts w:ascii="Times New Roman" w:hAnsi="Times New Roman" w:eastAsia="黑体" w:cs="Times New Roman"/>
          <w:bCs/>
          <w:sz w:val="24"/>
          <w:szCs w:val="32"/>
        </w:rPr>
      </w:pPr>
      <w:bookmarkStart w:id="102" w:name="_Toc26656993"/>
      <w:bookmarkStart w:id="103"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102"/>
      <w:bookmarkEnd w:id="103"/>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.1 供应商或其他利害关系人认为询比活动不符合法律法规规定的，可以自知道或应当知道之日起10日内向有关监督部门投诉。投诉应有明确的请求和必要的证明材料。</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监督部门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询比</w:t>
      </w:r>
      <w:r>
        <w:rPr>
          <w:rFonts w:ascii="Times New Roman" w:hAnsi="Times New Roman" w:cs="Times New Roman"/>
        </w:rPr>
        <w:t>监督</w:t>
      </w:r>
      <w:r>
        <w:rPr>
          <w:rFonts w:hint="eastAsia" w:ascii="Times New Roman" w:hAnsi="Times New Roman" w:cs="Times New Roman"/>
        </w:rPr>
        <w:t>部门</w:t>
      </w:r>
      <w:r>
        <w:rPr>
          <w:rFonts w:ascii="Times New Roman" w:hAnsi="Times New Roman" w:cs="Times New Roman"/>
        </w:rPr>
        <w:t>：</w:t>
      </w:r>
      <w:r>
        <w:rPr>
          <w:rFonts w:hint="eastAsia" w:ascii="Times New Roman" w:hAnsi="Times New Roman" w:cs="Times New Roman"/>
        </w:rPr>
        <w:t>养管中心招标工作领导小组监督岗</w:t>
      </w:r>
    </w:p>
    <w:p>
      <w:pPr>
        <w:spacing w:line="440" w:lineRule="exact"/>
        <w:ind w:firstLine="420"/>
        <w:rPr>
          <w:rFonts w:ascii="Times New Roman" w:hAnsi="Times New Roman" w:cs="Times New Roman"/>
        </w:rPr>
      </w:pPr>
      <w:r>
        <w:rPr>
          <w:rFonts w:ascii="Times New Roman" w:hAnsi="Times New Roman" w:cs="Times New Roman"/>
        </w:rPr>
        <w:t>联系电话：0551-6</w:t>
      </w:r>
      <w:r>
        <w:rPr>
          <w:rFonts w:hint="eastAsia" w:ascii="Times New Roman" w:hAnsi="Times New Roman" w:cs="Times New Roman"/>
        </w:rPr>
        <w:t>8166018</w:t>
      </w:r>
    </w:p>
    <w:p>
      <w:pPr>
        <w:spacing w:line="440" w:lineRule="exact"/>
        <w:ind w:firstLine="420"/>
        <w:rPr>
          <w:rFonts w:ascii="Times New Roman" w:hAnsi="Times New Roman" w:cs="Times New Roman"/>
        </w:rPr>
      </w:pPr>
      <w:bookmarkStart w:id="104" w:name="_Toc9067731"/>
      <w:bookmarkStart w:id="105" w:name="_Toc26656994"/>
      <w:bookmarkStart w:id="106" w:name="_Toc14201263"/>
      <w:r>
        <w:rPr>
          <w:rFonts w:hint="eastAsia" w:ascii="Times New Roman" w:hAnsi="Times New Roman" w:cs="Times New Roman"/>
        </w:rPr>
        <w:t>10</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需要补充的其他内容</w:t>
      </w:r>
      <w:bookmarkEnd w:id="104"/>
      <w:bookmarkEnd w:id="105"/>
      <w:bookmarkEnd w:id="106"/>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无。</w:t>
      </w:r>
    </w:p>
    <w:p>
      <w:pPr>
        <w:widowControl/>
        <w:jc w:val="left"/>
        <w:rPr>
          <w:rFonts w:ascii="Times New Roman" w:hAnsi="Times New Roman" w:cs="Times New Roman"/>
        </w:rPr>
      </w:pPr>
      <w:r>
        <w:rPr>
          <w:rFonts w:ascii="Times New Roman" w:hAnsi="Times New Roman" w:cs="Times New Roman"/>
        </w:rPr>
        <w:br w:type="page"/>
      </w:r>
    </w:p>
    <w:p>
      <w:pPr>
        <w:pStyle w:val="3"/>
        <w:numPr>
          <w:ilvl w:val="255"/>
          <w:numId w:val="0"/>
        </w:numPr>
        <w:spacing w:before="312" w:after="312"/>
        <w:rPr>
          <w:rFonts w:ascii="Times New Roman" w:hAnsi="Times New Roman" w:eastAsia="宋体" w:cs="Times New Roman"/>
        </w:rPr>
      </w:pPr>
      <w:bookmarkStart w:id="107" w:name="_Toc11201"/>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107"/>
    </w:p>
    <w:p>
      <w:pPr>
        <w:spacing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（最低价法）</w:t>
      </w: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pPr>
              <w:widowControl/>
              <w:adjustRightInd w:val="0"/>
              <w:snapToGrid w:val="0"/>
              <w:jc w:val="left"/>
            </w:pPr>
            <w:r>
              <w:rPr>
                <w:rFonts w:hint="eastAsia"/>
              </w:rPr>
              <w:t>按评审价由低到高的顺序依次推荐成交候选人：</w:t>
            </w:r>
          </w:p>
          <w:p>
            <w:pPr>
              <w:widowControl/>
              <w:adjustRightInd w:val="0"/>
              <w:snapToGrid w:val="0"/>
              <w:jc w:val="left"/>
            </w:pPr>
            <w:r>
              <w:rPr>
                <w:rFonts w:hint="eastAsia"/>
              </w:rPr>
              <w:sym w:font="Wingdings 2" w:char="0052"/>
            </w:r>
            <w:r>
              <w:rPr>
                <w:rFonts w:hint="eastAsia"/>
              </w:rPr>
              <w:t>评审价相等时，以递交响应文件在前的优先。</w:t>
            </w:r>
          </w:p>
          <w:p>
            <w:pPr>
              <w:pStyle w:val="2"/>
              <w:adjustRightInd w:val="0"/>
              <w:snapToGrid w:val="0"/>
            </w:pPr>
            <w:r>
              <w:rPr>
                <w:rFonts w:hint="eastAsia" w:ascii="Times New Roman" w:hAnsi="Times New Roman" w:cs="Times New Roman"/>
                <w:kern w:val="0"/>
                <w:szCs w:val="21"/>
              </w:rPr>
              <w:sym w:font="Wingdings 2" w:char="00A3"/>
            </w:r>
            <w:r>
              <w:rPr>
                <w:rFonts w:hint="eastAsia" w:ascii="Times New Roman" w:hAnsi="Times New Roman" w:cs="Times New Roman"/>
                <w:kern w:val="0"/>
                <w:szCs w:val="21"/>
              </w:rPr>
              <w:t>___________________________</w:t>
            </w:r>
          </w:p>
        </w:tc>
      </w:tr>
    </w:tbl>
    <w:p>
      <w:pPr>
        <w:adjustRightInd w:val="0"/>
        <w:snapToGrid w:val="0"/>
        <w:spacing w:line="360" w:lineRule="auto"/>
        <w:ind w:firstLine="420"/>
        <w:textAlignment w:val="baseline"/>
        <w:rPr>
          <w:rFonts w:ascii="Times New Roman" w:hAnsi="Times New Roman" w:cs="Times New Roman"/>
          <w:szCs w:val="21"/>
        </w:rPr>
      </w:pP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hint="eastAsia" w:ascii="Times New Roman" w:hAnsi="Times New Roman" w:cs="Times New Roman"/>
                <w:kern w:val="0"/>
                <w:szCs w:val="21"/>
              </w:rPr>
              <w:t>（如有）</w:t>
            </w:r>
            <w:r>
              <w:rPr>
                <w:rFonts w:ascii="Times New Roman" w:hAnsi="Times New Roman" w:cs="Times New Roman"/>
                <w:kern w:val="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签名</w:t>
            </w:r>
            <w:r>
              <w:rPr>
                <w:rFonts w:ascii="Times New Roman" w:hAnsi="Times New Roman"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服务期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安全目标</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w:t>
            </w:r>
            <w:r>
              <w:rPr>
                <w:rFonts w:hint="eastAsia" w:ascii="Times New Roman" w:hAnsi="Times New Roman" w:cs="Times New Roman"/>
                <w:kern w:val="0"/>
                <w:szCs w:val="21"/>
              </w:rPr>
              <w:t>2</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rPr>
            </w:pPr>
            <w:r>
              <w:rPr>
                <w:rFonts w:hint="eastAsia"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）同一供应商未递交两个以上不同的报价。</w:t>
            </w:r>
          </w:p>
          <w:p>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）供应商</w:t>
            </w:r>
            <w:r>
              <w:rPr>
                <w:rFonts w:hint="eastAsia" w:ascii="Times New Roman" w:hAnsi="Times New Roman" w:cs="Times New Roman"/>
              </w:rPr>
              <w:t>按</w:t>
            </w:r>
            <w:r>
              <w:rPr>
                <w:rFonts w:ascii="Times New Roman" w:hAnsi="Times New Roman" w:cs="Times New Roman"/>
              </w:rPr>
              <w:t>采购人提供的书面</w:t>
            </w:r>
            <w:r>
              <w:rPr>
                <w:rFonts w:hint="eastAsia" w:ascii="Times New Roman" w:hAnsi="Times New Roman" w:cs="Times New Roman"/>
              </w:rPr>
              <w:t>报价清单填写了报价，且未修改报价清单说明、数量等实质性内容</w:t>
            </w:r>
            <w:r>
              <w:rPr>
                <w:rFonts w:ascii="Times New Roman" w:hAnsi="Times New Roman" w:cs="Times New Roman"/>
              </w:rPr>
              <w:t>。</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）已标价</w:t>
            </w:r>
            <w:r>
              <w:rPr>
                <w:rFonts w:hint="eastAsia" w:ascii="Times New Roman" w:hAnsi="Times New Roman" w:cs="Times New Roman"/>
                <w:kern w:val="0"/>
                <w:szCs w:val="21"/>
              </w:rPr>
              <w:t>报价清单</w:t>
            </w:r>
            <w:r>
              <w:rPr>
                <w:rFonts w:ascii="Times New Roman" w:hAnsi="Times New Roman"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widowControl/>
        <w:spacing w:afterLines="100" w:line="420" w:lineRule="exact"/>
        <w:jc w:val="center"/>
        <w:rPr>
          <w:rFonts w:ascii="Times New Roman" w:hAnsi="Times New Roman" w:cs="Times New Roman"/>
          <w:kern w:val="0"/>
          <w:szCs w:val="21"/>
        </w:rPr>
      </w:pPr>
    </w:p>
    <w:p>
      <w:pPr>
        <w:jc w:val="right"/>
        <w:rPr>
          <w:rFonts w:ascii="Times New Roman" w:hAnsi="Times New Roman" w:cs="Times New Roman"/>
        </w:rPr>
      </w:pPr>
    </w:p>
    <w:tbl>
      <w:tblPr>
        <w:tblStyle w:val="2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评审价＝报价函文字报价</w:t>
            </w:r>
            <w:r>
              <w:rPr>
                <w:rFonts w:hint="eastAsia" w:ascii="Times New Roman" w:hAnsi="Times New Roman" w:cs="Times New Roman"/>
                <w:szCs w:val="21"/>
              </w:rPr>
              <w:t>（大小写不一致时以大写为准）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rPr>
                <w:rFonts w:ascii="Times New Roman" w:hAnsi="Times New Roman" w:cs="Times New Roman"/>
                <w:szCs w:val="21"/>
              </w:rPr>
            </w:pPr>
            <w:r>
              <w:rPr>
                <w:rFonts w:ascii="Times New Roman" w:hAnsi="Times New Roman" w:cs="Times New Roman"/>
                <w:szCs w:val="21"/>
              </w:rPr>
              <w:t>需要补充的其他内容：</w:t>
            </w:r>
          </w:p>
          <w:p>
            <w:pPr>
              <w:spacing w:line="360" w:lineRule="atLeast"/>
              <w:rPr>
                <w:rFonts w:ascii="Times New Roman" w:hAnsi="Times New Roman" w:cs="Times New Roman"/>
                <w:szCs w:val="21"/>
              </w:rPr>
            </w:pPr>
            <w:r>
              <w:rPr>
                <w:rFonts w:ascii="Times New Roman" w:hAnsi="Times New Roman" w:cs="Times New Roman"/>
                <w:szCs w:val="21"/>
              </w:rPr>
              <w:t>……</w:t>
            </w:r>
          </w:p>
        </w:tc>
      </w:tr>
    </w:tbl>
    <w:p>
      <w:pPr>
        <w:keepNext/>
        <w:keepLines/>
        <w:spacing w:beforeLines="50" w:afterLines="50"/>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w:t>
      </w:r>
      <w:r>
        <w:rPr>
          <w:rFonts w:hint="eastAsia" w:ascii="Times New Roman" w:hAnsi="Times New Roman" w:cs="Times New Roman"/>
        </w:rPr>
        <w:t>审</w:t>
      </w:r>
      <w:r>
        <w:rPr>
          <w:rFonts w:ascii="Times New Roman" w:hAnsi="Times New Roman" w:cs="Times New Roman"/>
        </w:rPr>
        <w:t>采用经评审的最低价法。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rPr>
        <w:t>询比文件</w:t>
      </w:r>
      <w:r>
        <w:rPr>
          <w:rFonts w:ascii="Times New Roman" w:hAnsi="Times New Roman" w:cs="Times New Roman"/>
        </w:rPr>
        <w:t>实质性要求的</w:t>
      </w:r>
      <w:r>
        <w:rPr>
          <w:rFonts w:hint="eastAsia" w:ascii="Times New Roman" w:hAnsi="Times New Roman" w:cs="Times New Roman"/>
        </w:rPr>
        <w:t>响应</w:t>
      </w:r>
      <w:r>
        <w:rPr>
          <w:rFonts w:ascii="Times New Roman" w:hAnsi="Times New Roman" w:cs="Times New Roman"/>
        </w:rPr>
        <w:t>文件，按照</w:t>
      </w:r>
      <w:r>
        <w:rPr>
          <w:rFonts w:hint="eastAsia" w:ascii="Times New Roman" w:hAnsi="Times New Roman" w:cs="Times New Roman"/>
        </w:rPr>
        <w:t>评审</w:t>
      </w:r>
      <w:r>
        <w:rPr>
          <w:rFonts w:ascii="Times New Roman" w:hAnsi="Times New Roman" w:cs="Times New Roman"/>
        </w:rPr>
        <w:t>价由低到高的顺序依次推荐</w:t>
      </w:r>
      <w:r>
        <w:rPr>
          <w:rFonts w:hint="eastAsia" w:ascii="Times New Roman" w:hAnsi="Times New Roman" w:cs="Times New Roman"/>
        </w:rPr>
        <w:t>成交候选人</w:t>
      </w:r>
      <w:r>
        <w:rPr>
          <w:rFonts w:ascii="Times New Roman" w:hAnsi="Times New Roman" w:cs="Times New Roman"/>
        </w:rPr>
        <w:t>。如</w:t>
      </w:r>
      <w:r>
        <w:rPr>
          <w:rFonts w:hint="eastAsia" w:ascii="Times New Roman" w:hAnsi="Times New Roman" w:cs="Times New Roman"/>
        </w:rPr>
        <w:t>报价</w:t>
      </w:r>
      <w:r>
        <w:rPr>
          <w:rFonts w:ascii="Times New Roman" w:hAnsi="Times New Roman" w:cs="Times New Roman"/>
        </w:rPr>
        <w:t>相同的，按照</w:t>
      </w:r>
      <w:r>
        <w:rPr>
          <w:rFonts w:hint="eastAsia" w:ascii="Times New Roman" w:hAnsi="Times New Roman" w:cs="Times New Roman"/>
        </w:rPr>
        <w:t>评审</w:t>
      </w:r>
      <w:r>
        <w:rPr>
          <w:rFonts w:ascii="Times New Roman" w:hAnsi="Times New Roman" w:cs="Times New Roman"/>
        </w:rPr>
        <w:t>办法前附表中的规定确定</w:t>
      </w:r>
      <w:r>
        <w:rPr>
          <w:rFonts w:hint="eastAsia" w:ascii="Times New Roman" w:hAnsi="Times New Roman" w:cs="Times New Roman"/>
        </w:rPr>
        <w:t>成交候选人</w:t>
      </w:r>
      <w:r>
        <w:rPr>
          <w:rFonts w:ascii="Times New Roman" w:hAnsi="Times New Roman" w:cs="Times New Roman"/>
        </w:rPr>
        <w:t>顺序。</w:t>
      </w:r>
    </w:p>
    <w:p>
      <w:pPr>
        <w:keepNext/>
        <w:keepLines/>
        <w:spacing w:beforeLines="50" w:afterLines="50"/>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Lines="50" w:afterLines="50"/>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服务期</w:t>
      </w:r>
      <w:r>
        <w:rPr>
          <w:rFonts w:ascii="Times New Roman" w:hAnsi="Times New Roman" w:cs="Times New Roman"/>
        </w:rPr>
        <w:t>、质量标准、安全目标前后不一致时，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keepNext/>
        <w:keepLines/>
        <w:spacing w:before="120" w:after="120"/>
        <w:rPr>
          <w:rFonts w:ascii="Times New Roman" w:hAnsi="Times New Roman" w:cs="Times New Roman"/>
          <w:color w:val="000000"/>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color w:val="000000"/>
        </w:rPr>
      </w:pPr>
      <w:r>
        <w:rPr>
          <w:rFonts w:hint="eastAsia" w:ascii="Times New Roman" w:hAnsi="Times New Roman" w:cs="Times New Roman"/>
        </w:rPr>
        <w:t>评审小组</w:t>
      </w:r>
      <w:r>
        <w:rPr>
          <w:rFonts w:ascii="Times New Roman" w:hAnsi="Times New Roman" w:cs="Times New Roman"/>
        </w:rPr>
        <w:t>按本章第2.2款规定</w:t>
      </w:r>
      <w:r>
        <w:rPr>
          <w:rFonts w:hint="eastAsia" w:ascii="Times New Roman" w:hAnsi="Times New Roman" w:cs="Times New Roman"/>
        </w:rPr>
        <w:t>进行评审价排序</w:t>
      </w:r>
      <w:r>
        <w:rPr>
          <w:rFonts w:ascii="Times New Roman" w:hAnsi="Times New Roman" w:cs="Times New Roman"/>
        </w:rPr>
        <w:t>。</w:t>
      </w:r>
    </w:p>
    <w:p>
      <w:pPr>
        <w:keepNext/>
        <w:keepLines/>
        <w:spacing w:before="120" w:after="120"/>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bookmarkStart w:id="108" w:name="_Toc218_WPSOffice_Level2"/>
      <w:bookmarkStart w:id="109" w:name="_Toc12245_WPSOffice_Level2"/>
      <w:bookmarkStart w:id="110" w:name="_Toc21524_WPSOffice_Level2"/>
      <w:r>
        <w:rPr>
          <w:rFonts w:ascii="Times New Roman" w:hAnsi="Times New Roman" w:cs="Times New Roman"/>
        </w:rPr>
        <w:t>（一）采购项目基本情况</w:t>
      </w:r>
      <w:bookmarkEnd w:id="108"/>
      <w:bookmarkEnd w:id="109"/>
      <w:bookmarkEnd w:id="110"/>
    </w:p>
    <w:p>
      <w:pPr>
        <w:spacing w:line="440" w:lineRule="exact"/>
        <w:ind w:firstLine="420"/>
        <w:rPr>
          <w:rFonts w:ascii="Times New Roman" w:hAnsi="Times New Roman" w:cs="Times New Roman"/>
        </w:rPr>
      </w:pPr>
      <w:bookmarkStart w:id="111" w:name="_Toc31322_WPSOffice_Level2"/>
      <w:bookmarkStart w:id="112" w:name="_Toc8414_WPSOffice_Level2"/>
      <w:bookmarkStart w:id="113" w:name="_Toc5856_WPSOffice_Level2"/>
      <w:r>
        <w:rPr>
          <w:rFonts w:ascii="Times New Roman" w:hAnsi="Times New Roman" w:cs="Times New Roman"/>
        </w:rPr>
        <w:t>（二）采购过程回顾</w:t>
      </w:r>
      <w:bookmarkEnd w:id="111"/>
      <w:bookmarkEnd w:id="112"/>
      <w:bookmarkEnd w:id="113"/>
    </w:p>
    <w:p>
      <w:pPr>
        <w:spacing w:line="440" w:lineRule="exact"/>
        <w:ind w:firstLine="420"/>
        <w:rPr>
          <w:rFonts w:ascii="Times New Roman" w:hAnsi="Times New Roman" w:cs="Times New Roman"/>
        </w:rPr>
      </w:pPr>
      <w:bookmarkStart w:id="114" w:name="_Toc15620_WPSOffice_Level2"/>
      <w:bookmarkStart w:id="115" w:name="_Toc1346_WPSOffice_Level2"/>
      <w:bookmarkStart w:id="116" w:name="_Toc2932_WPSOffice_Level2"/>
      <w:r>
        <w:rPr>
          <w:rFonts w:ascii="Times New Roman" w:hAnsi="Times New Roman" w:cs="Times New Roman"/>
        </w:rPr>
        <w:t>（三）评审小组成员名单</w:t>
      </w:r>
      <w:bookmarkEnd w:id="114"/>
      <w:bookmarkEnd w:id="115"/>
      <w:bookmarkEnd w:id="116"/>
    </w:p>
    <w:p>
      <w:pPr>
        <w:spacing w:line="440" w:lineRule="exact"/>
        <w:ind w:firstLine="420"/>
        <w:rPr>
          <w:rFonts w:ascii="Times New Roman" w:hAnsi="Times New Roman" w:cs="Times New Roman"/>
        </w:rPr>
      </w:pPr>
      <w:bookmarkStart w:id="117" w:name="_Toc32316_WPSOffice_Level2"/>
      <w:bookmarkStart w:id="118" w:name="_Toc14464_WPSOffice_Level2"/>
      <w:bookmarkStart w:id="119" w:name="_Toc14207_WPSOffice_Level2"/>
      <w:r>
        <w:rPr>
          <w:rFonts w:ascii="Times New Roman" w:hAnsi="Times New Roman" w:cs="Times New Roman"/>
        </w:rPr>
        <w:t>（四）询比评审工作</w:t>
      </w:r>
      <w:bookmarkEnd w:id="117"/>
      <w:bookmarkEnd w:id="118"/>
      <w:bookmarkEnd w:id="119"/>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w:t>
      </w:r>
      <w:r>
        <w:rPr>
          <w:rFonts w:ascii="Times New Roman" w:hAnsi="Times New Roman" w:cs="Times New Roman"/>
        </w:rPr>
        <w:t>评审情况</w:t>
      </w:r>
      <w:r>
        <w:rPr>
          <w:rFonts w:hint="eastAsia" w:ascii="Times New Roman" w:hAnsi="Times New Roman" w:cs="Times New Roman"/>
        </w:rPr>
        <w:t>（供应商的评审价评审情况）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120" w:name="_Toc13397_WPSOffice_Level2"/>
      <w:bookmarkStart w:id="121" w:name="_Toc5114_WPSOffice_Level2"/>
      <w:bookmarkStart w:id="122" w:name="_Toc3913_WPSOffice_Level2"/>
      <w:r>
        <w:rPr>
          <w:rFonts w:ascii="Times New Roman" w:hAnsi="Times New Roman" w:cs="Times New Roman"/>
        </w:rPr>
        <w:t>（五）需要说明的其他事项</w:t>
      </w:r>
      <w:bookmarkEnd w:id="120"/>
      <w:bookmarkEnd w:id="121"/>
      <w:bookmarkEnd w:id="122"/>
    </w:p>
    <w:p>
      <w:pPr>
        <w:spacing w:line="440" w:lineRule="exact"/>
        <w:ind w:firstLine="420"/>
        <w:rPr>
          <w:rFonts w:ascii="Times New Roman" w:hAnsi="Times New Roman" w:cs="Times New Roman"/>
        </w:rPr>
      </w:pPr>
      <w:bookmarkStart w:id="123" w:name="_Toc8934_WPSOffice_Level2"/>
      <w:bookmarkStart w:id="124" w:name="_Toc3031_WPSOffice_Level2"/>
      <w:bookmarkStart w:id="125" w:name="_Toc23800_WPSOffice_Level2"/>
      <w:r>
        <w:rPr>
          <w:rFonts w:ascii="Times New Roman" w:hAnsi="Times New Roman" w:cs="Times New Roman"/>
        </w:rPr>
        <w:t>（六）评审附表</w:t>
      </w:r>
      <w:bookmarkEnd w:id="123"/>
      <w:bookmarkEnd w:id="124"/>
      <w:bookmarkEnd w:id="125"/>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widowControl/>
        <w:jc w:val="left"/>
        <w:rPr>
          <w:rFonts w:ascii="Times New Roman" w:hAnsi="Times New Roman" w:eastAsia="宋体" w:cs="Times New Roman"/>
        </w:rPr>
      </w:pPr>
    </w:p>
    <w:p>
      <w:pPr>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bookmarkStart w:id="126" w:name="_Toc27044"/>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126"/>
    </w:p>
    <w:p>
      <w:pPr>
        <w:jc w:val="center"/>
        <w:rPr>
          <w:rFonts w:ascii="Times New Roman" w:hAnsi="Times New Roman" w:cs="Times New Roman"/>
          <w:sz w:val="28"/>
        </w:rPr>
      </w:pPr>
      <w:bookmarkStart w:id="127" w:name="_Toc12005"/>
      <w:bookmarkStart w:id="128" w:name="_Toc447808679"/>
      <w:bookmarkStart w:id="129" w:name="_Toc16698_WPSOffice_Level2"/>
      <w:r>
        <w:rPr>
          <w:rFonts w:ascii="Times New Roman" w:hAnsi="Times New Roman" w:cs="Times New Roman"/>
          <w:sz w:val="28"/>
        </w:rPr>
        <w:br w:type="page"/>
      </w:r>
    </w:p>
    <w:bookmarkEnd w:id="127"/>
    <w:bookmarkEnd w:id="128"/>
    <w:bookmarkEnd w:id="129"/>
    <w:p>
      <w:pPr>
        <w:jc w:val="center"/>
        <w:rPr>
          <w:rFonts w:ascii="Times New Roman" w:hAnsi="Times New Roman" w:eastAsia="宋体" w:cs="Times New Roman"/>
          <w:b/>
          <w:sz w:val="32"/>
          <w:szCs w:val="32"/>
        </w:rPr>
      </w:pPr>
      <w:bookmarkStart w:id="130" w:name="_bookmark259"/>
      <w:bookmarkEnd w:id="130"/>
      <w:bookmarkStart w:id="131" w:name="_Toc14125_WPSOffice_Level1"/>
      <w:r>
        <w:rPr>
          <w:rFonts w:ascii="Times New Roman" w:hAnsi="Times New Roman" w:eastAsia="仿宋_GB2312" w:cs="Times New Roman"/>
          <w:b/>
          <w:sz w:val="28"/>
          <w:szCs w:val="28"/>
        </w:rPr>
        <w:t>通用服务采购合同</w:t>
      </w:r>
      <w:bookmarkEnd w:id="131"/>
    </w:p>
    <w:p>
      <w:pPr>
        <w:adjustRightInd w:val="0"/>
        <w:snapToGrid w:val="0"/>
        <w:spacing w:line="440" w:lineRule="exact"/>
        <w:ind w:firstLine="420" w:firstLineChars="200"/>
        <w:rPr>
          <w:rFonts w:ascii="Times New Roman" w:hAnsi="Times New Roman" w:eastAsia="宋体" w:cs="Times New Roman"/>
          <w:color w:val="000000"/>
          <w:szCs w:val="21"/>
        </w:rPr>
      </w:pPr>
    </w:p>
    <w:p>
      <w:pPr>
        <w:adjustRightInd w:val="0"/>
        <w:snapToGrid w:val="0"/>
        <w:spacing w:line="440" w:lineRule="exact"/>
        <w:ind w:firstLine="367" w:firstLineChars="175"/>
        <w:rPr>
          <w:rFonts w:ascii="Times New Roman" w:hAnsi="Times New Roman" w:eastAsia="宋体" w:cs="Times New Roman"/>
          <w:b/>
          <w:szCs w:val="21"/>
        </w:rPr>
      </w:pPr>
      <w:bookmarkStart w:id="132" w:name="_Toc30852_WPSOffice_Level1"/>
      <w:r>
        <w:rPr>
          <w:rFonts w:ascii="Times New Roman" w:hAnsi="Times New Roman" w:eastAsia="宋体" w:cs="Times New Roman"/>
          <w:b/>
          <w:szCs w:val="21"/>
        </w:rPr>
        <w:t>1.项目信息</w:t>
      </w:r>
      <w:bookmarkEnd w:id="132"/>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1.1 项目名称：</w:t>
      </w:r>
      <w:r>
        <w:rPr>
          <w:rFonts w:hint="eastAsia" w:ascii="Times New Roman" w:hAnsi="Times New Roman" w:eastAsia="宋体" w:cs="Times New Roman"/>
          <w:color w:val="000000"/>
          <w:szCs w:val="21"/>
          <w:u w:val="single"/>
        </w:rPr>
        <w:t>2021-2023年度养管中心车辆保险服务</w:t>
      </w:r>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1.2 项目内容：</w:t>
      </w:r>
      <w:r>
        <w:rPr>
          <w:rFonts w:hint="eastAsia" w:ascii="Times New Roman" w:hAnsi="Times New Roman" w:eastAsia="宋体" w:cs="Times New Roman"/>
          <w:color w:val="000000"/>
          <w:szCs w:val="21"/>
          <w:u w:val="single"/>
        </w:rPr>
        <w:t>2021-2023年度报价清单中车辆的交强险、商业险保险服务采购，并代缴车船使用税</w:t>
      </w:r>
      <w:r>
        <w:rPr>
          <w:rFonts w:hint="eastAsia" w:ascii="Times New Roman" w:hAnsi="Times New Roman" w:eastAsia="宋体" w:cs="Times New Roman"/>
          <w:color w:val="000000"/>
          <w:szCs w:val="21"/>
        </w:rPr>
        <w:t>。</w:t>
      </w:r>
    </w:p>
    <w:p>
      <w:pPr>
        <w:widowControl/>
        <w:spacing w:line="360" w:lineRule="auto"/>
        <w:ind w:firstLine="420" w:firstLineChars="200"/>
        <w:jc w:val="left"/>
        <w:rPr>
          <w:rFonts w:ascii="宋体" w:hAnsi="宋体"/>
          <w:kern w:val="0"/>
          <w:szCs w:val="21"/>
          <w:u w:val="single"/>
        </w:rPr>
      </w:pPr>
      <w:r>
        <w:rPr>
          <w:rFonts w:ascii="Times New Roman" w:hAnsi="Times New Roman" w:eastAsia="宋体" w:cs="Times New Roman"/>
          <w:color w:val="000000"/>
          <w:szCs w:val="21"/>
        </w:rPr>
        <w:t>1.3 服务内容：</w:t>
      </w:r>
      <w:r>
        <w:rPr>
          <w:rFonts w:hint="eastAsia" w:ascii="宋体" w:hAnsi="宋体"/>
          <w:kern w:val="0"/>
          <w:szCs w:val="21"/>
          <w:u w:val="single"/>
        </w:rPr>
        <w:t>安徽省交通控股集团有限公司养护管理中心车辆保险期限将于年底到期，为保证车辆保险时间的衔接，拟通过集中采购方式选定新一轮车辆保险承办单位。</w:t>
      </w:r>
    </w:p>
    <w:p>
      <w:pPr>
        <w:adjustRightInd w:val="0"/>
        <w:snapToGrid w:val="0"/>
        <w:spacing w:line="440" w:lineRule="exact"/>
        <w:ind w:firstLine="367" w:firstLineChars="175"/>
        <w:rPr>
          <w:rFonts w:ascii="Times New Roman" w:hAnsi="Times New Roman" w:eastAsia="宋体" w:cs="Times New Roman"/>
          <w:color w:val="000000"/>
          <w:szCs w:val="21"/>
          <w:u w:val="single"/>
        </w:rPr>
      </w:pPr>
      <w:r>
        <w:rPr>
          <w:rFonts w:hint="eastAsia" w:ascii="宋体" w:hAnsi="宋体"/>
          <w:kern w:val="0"/>
          <w:szCs w:val="21"/>
          <w:u w:val="single"/>
        </w:rPr>
        <w:t>本次询比采购车辆保险服务的车辆总数43辆，车型包括轿车、小型普通货车、轻型货车、越野车等，详细信息见第六章响应文件格式报价清单。</w:t>
      </w:r>
    </w:p>
    <w:p>
      <w:pPr>
        <w:adjustRightInd w:val="0"/>
        <w:snapToGrid w:val="0"/>
        <w:spacing w:line="440" w:lineRule="exact"/>
        <w:ind w:firstLine="367" w:firstLineChars="175"/>
        <w:rPr>
          <w:rFonts w:ascii="Times New Roman" w:hAnsi="Times New Roman" w:eastAsia="宋体" w:cs="Times New Roman"/>
          <w:b/>
          <w:szCs w:val="21"/>
        </w:rPr>
      </w:pPr>
      <w:bookmarkStart w:id="133" w:name="_Toc2136_WPSOffice_Level1"/>
      <w:r>
        <w:rPr>
          <w:rFonts w:ascii="Times New Roman" w:hAnsi="Times New Roman" w:eastAsia="宋体" w:cs="Times New Roman"/>
          <w:b/>
          <w:szCs w:val="21"/>
        </w:rPr>
        <w:t>2.合同金额及类别</w:t>
      </w:r>
      <w:bookmarkEnd w:id="133"/>
    </w:p>
    <w:p>
      <w:pPr>
        <w:adjustRightInd w:val="0"/>
        <w:snapToGrid w:val="0"/>
        <w:spacing w:line="440" w:lineRule="exact"/>
        <w:ind w:firstLine="367" w:firstLineChars="175"/>
        <w:rPr>
          <w:rFonts w:ascii="Times New Roman" w:hAnsi="Times New Roman" w:eastAsia="宋体" w:cs="Times New Roman"/>
          <w:szCs w:val="21"/>
          <w:u w:val="single"/>
        </w:rPr>
      </w:pPr>
      <w:r>
        <w:rPr>
          <w:rFonts w:ascii="Times New Roman" w:hAnsi="Times New Roman" w:eastAsia="宋体" w:cs="Times New Roman"/>
          <w:szCs w:val="21"/>
        </w:rPr>
        <w:t>2.1 合同金额：</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成交人报价总额（暂定价，具体根据实际投保车辆及险种据实结算）</w:t>
      </w:r>
      <w:r>
        <w:rPr>
          <w:rFonts w:ascii="Times New Roman" w:hAnsi="Times New Roman" w:eastAsia="宋体" w:cs="Times New Roman"/>
          <w:szCs w:val="21"/>
          <w:u w:val="single"/>
        </w:rPr>
        <w:t xml:space="preserve"> </w:t>
      </w:r>
    </w:p>
    <w:p>
      <w:pPr>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2.2 合同类别：</w:t>
      </w:r>
      <w:r>
        <w:rPr>
          <w:rFonts w:ascii="Times New Roman" w:hAnsi="Times New Roman" w:eastAsia="宋体" w:cs="Times New Roman"/>
          <w:szCs w:val="21"/>
          <w:u w:val="single"/>
        </w:rPr>
        <w:t>单价</w:t>
      </w:r>
    </w:p>
    <w:p>
      <w:pPr>
        <w:adjustRightInd w:val="0"/>
        <w:snapToGrid w:val="0"/>
        <w:spacing w:line="440" w:lineRule="exact"/>
        <w:ind w:firstLine="367" w:firstLineChars="175"/>
        <w:rPr>
          <w:rFonts w:ascii="Times New Roman" w:hAnsi="Times New Roman" w:eastAsia="宋体" w:cs="Times New Roman"/>
          <w:szCs w:val="21"/>
          <w:u w:val="single"/>
        </w:rPr>
      </w:pPr>
      <w:bookmarkStart w:id="134" w:name="_Toc4997_WPSOffice_Level1"/>
      <w:r>
        <w:rPr>
          <w:rFonts w:ascii="Times New Roman" w:hAnsi="Times New Roman" w:eastAsia="宋体" w:cs="Times New Roman"/>
          <w:b/>
          <w:szCs w:val="21"/>
        </w:rPr>
        <w:t>3.履行合同的时间、地点及方式</w:t>
      </w:r>
      <w:bookmarkEnd w:id="134"/>
    </w:p>
    <w:p>
      <w:pPr>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3.1 时间要求：</w:t>
      </w:r>
      <w:r>
        <w:rPr>
          <w:rFonts w:hint="eastAsia" w:ascii="宋体" w:hAnsi="宋体" w:eastAsia="宋体"/>
          <w:szCs w:val="21"/>
          <w:u w:val="single"/>
        </w:rPr>
        <w:t>发出中标通知书后30日内签订合同</w:t>
      </w:r>
    </w:p>
    <w:p>
      <w:pPr>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3.2 地点：</w:t>
      </w:r>
      <w:r>
        <w:rPr>
          <w:rFonts w:hint="eastAsia" w:ascii="宋体" w:hAnsi="宋体"/>
          <w:szCs w:val="21"/>
          <w:u w:val="single"/>
        </w:rPr>
        <w:t>合肥市蜀山区响洪甸路1200号新桥机场高速公路监控中心</w:t>
      </w:r>
    </w:p>
    <w:p>
      <w:pPr>
        <w:adjustRightInd w:val="0"/>
        <w:snapToGrid w:val="0"/>
        <w:spacing w:line="440" w:lineRule="exact"/>
        <w:ind w:firstLine="367" w:firstLineChars="175"/>
        <w:rPr>
          <w:rFonts w:ascii="Times New Roman" w:hAnsi="Times New Roman" w:eastAsia="宋体" w:cs="Times New Roman"/>
          <w:b/>
          <w:szCs w:val="21"/>
        </w:rPr>
      </w:pPr>
      <w:bookmarkStart w:id="135" w:name="_Toc24437_WPSOffice_Level1"/>
      <w:r>
        <w:rPr>
          <w:rFonts w:ascii="Times New Roman" w:hAnsi="Times New Roman" w:eastAsia="宋体" w:cs="Times New Roman"/>
          <w:b/>
          <w:szCs w:val="21"/>
        </w:rPr>
        <w:t>4.时间进度要求</w:t>
      </w:r>
      <w:bookmarkEnd w:id="135"/>
    </w:p>
    <w:p>
      <w:pPr>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adjustRightInd w:val="0"/>
        <w:snapToGrid w:val="0"/>
        <w:spacing w:line="440" w:lineRule="exact"/>
        <w:ind w:firstLine="367" w:firstLineChars="175"/>
        <w:rPr>
          <w:rFonts w:ascii="Times New Roman" w:hAnsi="Times New Roman" w:eastAsia="宋体" w:cs="Times New Roman"/>
          <w:b/>
          <w:szCs w:val="21"/>
        </w:rPr>
      </w:pPr>
      <w:bookmarkStart w:id="136" w:name="_Toc6898_WPSOffice_Level1"/>
      <w:r>
        <w:rPr>
          <w:rFonts w:ascii="Times New Roman" w:hAnsi="Times New Roman" w:eastAsia="宋体" w:cs="Times New Roman"/>
          <w:b/>
          <w:szCs w:val="21"/>
        </w:rPr>
        <w:t>5.付款</w:t>
      </w:r>
      <w:bookmarkEnd w:id="136"/>
    </w:p>
    <w:p>
      <w:pPr>
        <w:adjustRightInd w:val="0"/>
        <w:snapToGrid w:val="0"/>
        <w:spacing w:line="440" w:lineRule="exact"/>
        <w:ind w:firstLine="367" w:firstLineChars="175"/>
        <w:rPr>
          <w:rFonts w:ascii="Times New Roman" w:hAnsi="Times New Roman" w:eastAsia="宋体" w:cs="Times New Roman"/>
          <w:szCs w:val="21"/>
          <w:u w:val="single"/>
        </w:rPr>
      </w:pPr>
      <w:r>
        <w:rPr>
          <w:rFonts w:ascii="Times New Roman" w:hAnsi="Times New Roman" w:eastAsia="宋体" w:cs="Times New Roman"/>
          <w:szCs w:val="21"/>
        </w:rPr>
        <w:t>5.1 付款方式</w:t>
      </w:r>
    </w:p>
    <w:p>
      <w:pPr>
        <w:adjustRightInd w:val="0"/>
        <w:snapToGrid w:val="0"/>
        <w:spacing w:line="440" w:lineRule="exact"/>
        <w:ind w:firstLine="367" w:firstLineChars="175"/>
        <w:rPr>
          <w:rFonts w:ascii="Times New Roman" w:hAnsi="Times New Roman" w:eastAsia="宋体" w:cs="Times New Roman"/>
          <w:sz w:val="18"/>
          <w:szCs w:val="21"/>
        </w:rPr>
      </w:pPr>
      <w:r>
        <w:rPr>
          <w:rFonts w:hint="eastAsia" w:ascii="Times New Roman" w:hAnsi="Times New Roman" w:eastAsia="宋体" w:cs="Times New Roman"/>
          <w:szCs w:val="21"/>
          <w:u w:val="single"/>
        </w:rPr>
        <w:t>合同价款按照单车“见费出单”的原则据实结算并转账支付</w:t>
      </w:r>
      <w:r>
        <w:rPr>
          <w:rFonts w:ascii="Times New Roman" w:hAnsi="Times New Roman" w:eastAsia="宋体" w:cs="Times New Roman"/>
          <w:szCs w:val="21"/>
        </w:rPr>
        <w:t>。</w:t>
      </w:r>
    </w:p>
    <w:p>
      <w:pPr>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5.2 乙方应向甲方开具增值税专用发票。</w:t>
      </w:r>
    </w:p>
    <w:p>
      <w:pPr>
        <w:adjustRightInd w:val="0"/>
        <w:snapToGrid w:val="0"/>
        <w:spacing w:line="440" w:lineRule="exact"/>
        <w:ind w:firstLine="367" w:firstLineChars="175"/>
        <w:rPr>
          <w:rFonts w:ascii="Times New Roman" w:hAnsi="Times New Roman" w:eastAsia="宋体" w:cs="Times New Roman"/>
          <w:b/>
          <w:szCs w:val="21"/>
        </w:rPr>
      </w:pPr>
      <w:bookmarkStart w:id="137" w:name="_Toc4994_WPSOffice_Level1"/>
      <w:r>
        <w:rPr>
          <w:rFonts w:ascii="Times New Roman" w:hAnsi="Times New Roman" w:eastAsia="宋体" w:cs="Times New Roman"/>
          <w:b/>
          <w:szCs w:val="21"/>
        </w:rPr>
        <w:t>6.履约担保</w:t>
      </w:r>
      <w:bookmarkEnd w:id="137"/>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6.1 乙方应按询比文件的规定，向甲方提交符合要求的履约担保。</w:t>
      </w:r>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6.2 为取得履约担保所需的费用，由乙方自行负责。</w:t>
      </w:r>
    </w:p>
    <w:p>
      <w:pPr>
        <w:adjustRightInd w:val="0"/>
        <w:snapToGrid w:val="0"/>
        <w:spacing w:line="440" w:lineRule="exact"/>
        <w:ind w:firstLine="367" w:firstLineChars="175"/>
        <w:rPr>
          <w:rFonts w:ascii="Times New Roman" w:hAnsi="Times New Roman" w:eastAsia="宋体" w:cs="Times New Roman"/>
          <w:b/>
          <w:szCs w:val="21"/>
        </w:rPr>
      </w:pPr>
      <w:bookmarkStart w:id="138" w:name="_Toc19947_WPSOffice_Level1"/>
      <w:r>
        <w:rPr>
          <w:rFonts w:ascii="Times New Roman" w:hAnsi="Times New Roman" w:eastAsia="宋体" w:cs="Times New Roman"/>
          <w:b/>
          <w:szCs w:val="21"/>
        </w:rPr>
        <w:t>7.验收</w:t>
      </w:r>
      <w:bookmarkEnd w:id="138"/>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7.1 按询比文件内容及要求进行验收。</w:t>
      </w:r>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7.2 乙方提供的服务或提交的成果资料不符合询比文件要求的，须根据甲方意见进行必要的修改、调整和补充，调整所需的各项费用由乙方自行承担。</w:t>
      </w:r>
    </w:p>
    <w:p>
      <w:pPr>
        <w:adjustRightInd w:val="0"/>
        <w:snapToGrid w:val="0"/>
        <w:spacing w:line="440" w:lineRule="exact"/>
        <w:ind w:firstLine="367" w:firstLineChars="175"/>
        <w:rPr>
          <w:rFonts w:ascii="Times New Roman" w:hAnsi="Times New Roman" w:eastAsia="宋体" w:cs="Times New Roman"/>
          <w:b/>
          <w:szCs w:val="21"/>
        </w:rPr>
      </w:pPr>
      <w:bookmarkStart w:id="139" w:name="_Toc724_WPSOffice_Level1"/>
      <w:r>
        <w:rPr>
          <w:rFonts w:ascii="Times New Roman" w:hAnsi="Times New Roman" w:eastAsia="宋体" w:cs="Times New Roman"/>
          <w:b/>
          <w:szCs w:val="21"/>
        </w:rPr>
        <w:t>8.违约责任</w:t>
      </w:r>
      <w:bookmarkEnd w:id="139"/>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8.1 乙方不履行本合同义务或者履行义务不符合约定的，甲方有权要求乙方承担继续履行、赔偿损失或支付违约金等违约责任。</w:t>
      </w:r>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8.2 因乙方提供的服务或成果资料质量低劣引起返工或甲方不满的，给甲方造成损失时，乙方应继续完善服务工作及成果资料，并应赔偿甲方所遭受的损失。</w:t>
      </w:r>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8.3 由于乙方原因造成服务不合格或延误的，乙方除负责采取补救措施外，应免收损失部分对应的合同价款，并应根据损失程度向甲方支付赔偿金。</w:t>
      </w:r>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8.4 乙方未经甲方批准，擅自转让本项目服务工作的，应当向甲方支付合同价格</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 xml:space="preserve">5 </w:t>
      </w:r>
      <w:r>
        <w:rPr>
          <w:rFonts w:ascii="Times New Roman" w:hAnsi="Times New Roman" w:eastAsia="宋体" w:cs="Times New Roman"/>
          <w:color w:val="000000"/>
          <w:szCs w:val="21"/>
        </w:rPr>
        <w:t>%的违约金。</w:t>
      </w:r>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8.5 乙方未按合同约定履行合同义务，经甲方合理催告在限定时间内仍未纠正的，甲方有权书面通知乙方终止合同；合同提前终止的，甲方有权拒绝支付任何费用，且乙方应向甲方支付相当于合同价格</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 xml:space="preserve">5 </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%的违约金。</w:t>
      </w:r>
    </w:p>
    <w:p>
      <w:pPr>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color w:val="000000"/>
          <w:szCs w:val="21"/>
        </w:rPr>
        <w:t>8.6 乙方按合同约定应支付的违约金低于给甲方造成的损失的，还应就差额部分向甲方进行赔偿</w:t>
      </w:r>
      <w:r>
        <w:rPr>
          <w:rFonts w:ascii="Times New Roman" w:hAnsi="Times New Roman" w:eastAsia="宋体" w:cs="Times New Roman"/>
          <w:szCs w:val="21"/>
        </w:rPr>
        <w:t>。</w:t>
      </w:r>
    </w:p>
    <w:p>
      <w:pPr>
        <w:tabs>
          <w:tab w:val="left" w:pos="3525"/>
        </w:tabs>
        <w:adjustRightInd w:val="0"/>
        <w:snapToGrid w:val="0"/>
        <w:spacing w:line="440" w:lineRule="exact"/>
        <w:ind w:firstLine="367" w:firstLineChars="175"/>
        <w:rPr>
          <w:rFonts w:ascii="Times New Roman" w:hAnsi="Times New Roman" w:eastAsia="宋体" w:cs="Times New Roman"/>
          <w:b/>
          <w:szCs w:val="21"/>
        </w:rPr>
      </w:pPr>
      <w:bookmarkStart w:id="140" w:name="_Toc1629_WPSOffice_Level1"/>
      <w:r>
        <w:rPr>
          <w:rFonts w:ascii="Times New Roman" w:hAnsi="Times New Roman" w:eastAsia="宋体" w:cs="Times New Roman"/>
          <w:b/>
          <w:szCs w:val="21"/>
        </w:rPr>
        <w:t>9、甲方的权利和义务</w:t>
      </w:r>
      <w:bookmarkEnd w:id="140"/>
      <w:r>
        <w:rPr>
          <w:rFonts w:ascii="Times New Roman" w:hAnsi="Times New Roman" w:eastAsia="宋体" w:cs="Times New Roman"/>
          <w:b/>
          <w:szCs w:val="21"/>
        </w:rPr>
        <w:t xml:space="preserve"> </w:t>
      </w:r>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9.1 按合同约定向乙方支付费用。</w:t>
      </w:r>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9.2 负责向乙方提供必要的资料及组织协调工作。</w:t>
      </w:r>
    </w:p>
    <w:p>
      <w:pPr>
        <w:adjustRightInd w:val="0"/>
        <w:snapToGrid w:val="0"/>
        <w:spacing w:line="440" w:lineRule="exact"/>
        <w:ind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9.3 对乙方的服务质量及时进行监督检查，对存在的问题要求乙方及时整改。</w:t>
      </w:r>
    </w:p>
    <w:p>
      <w:pPr>
        <w:tabs>
          <w:tab w:val="left" w:pos="3525"/>
        </w:tabs>
        <w:adjustRightInd w:val="0"/>
        <w:snapToGrid w:val="0"/>
        <w:spacing w:line="440" w:lineRule="exact"/>
        <w:ind w:firstLine="367" w:firstLineChars="175"/>
        <w:rPr>
          <w:rFonts w:ascii="Times New Roman" w:hAnsi="Times New Roman" w:eastAsia="宋体" w:cs="Times New Roman"/>
          <w:b/>
          <w:szCs w:val="21"/>
        </w:rPr>
      </w:pPr>
      <w:bookmarkStart w:id="141" w:name="_Toc26852_WPSOffice_Level1"/>
      <w:r>
        <w:rPr>
          <w:rFonts w:ascii="Times New Roman" w:hAnsi="Times New Roman" w:eastAsia="宋体" w:cs="Times New Roman"/>
          <w:b/>
          <w:szCs w:val="21"/>
        </w:rPr>
        <w:t>10、乙方的权利和义务</w:t>
      </w:r>
      <w:bookmarkEnd w:id="141"/>
    </w:p>
    <w:p>
      <w:pPr>
        <w:tabs>
          <w:tab w:val="left" w:pos="3525"/>
        </w:tabs>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10.1 本着科学、严谨的工作态度，依据双方约定，为甲方提供相关服务，确保成果质量。</w:t>
      </w:r>
    </w:p>
    <w:p>
      <w:pPr>
        <w:tabs>
          <w:tab w:val="left" w:pos="3525"/>
        </w:tabs>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10.2 制定各种应急处置预案，能及时有效处置突发事件，确保服务过程中人员安全。</w:t>
      </w:r>
    </w:p>
    <w:p>
      <w:pPr>
        <w:tabs>
          <w:tab w:val="left" w:pos="3525"/>
        </w:tabs>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10.</w:t>
      </w:r>
      <w:r>
        <w:rPr>
          <w:rFonts w:hint="eastAsia" w:ascii="Times New Roman" w:hAnsi="Times New Roman" w:eastAsia="宋体" w:cs="Times New Roman"/>
          <w:szCs w:val="21"/>
        </w:rPr>
        <w:t>3</w:t>
      </w:r>
      <w:r>
        <w:rPr>
          <w:rFonts w:ascii="Times New Roman" w:hAnsi="Times New Roman" w:eastAsia="宋体" w:cs="Times New Roman"/>
          <w:szCs w:val="21"/>
        </w:rPr>
        <w:t xml:space="preserve"> 询比文件“采购需求及清单”规定的其他内容。</w:t>
      </w:r>
    </w:p>
    <w:p>
      <w:pPr>
        <w:tabs>
          <w:tab w:val="left" w:pos="3525"/>
        </w:tabs>
        <w:adjustRightInd w:val="0"/>
        <w:snapToGrid w:val="0"/>
        <w:spacing w:line="440" w:lineRule="exact"/>
        <w:ind w:firstLine="367" w:firstLineChars="175"/>
        <w:rPr>
          <w:rFonts w:ascii="Times New Roman" w:hAnsi="Times New Roman" w:eastAsia="宋体" w:cs="Times New Roman"/>
          <w:b/>
          <w:szCs w:val="21"/>
        </w:rPr>
      </w:pPr>
      <w:bookmarkStart w:id="142" w:name="_Toc15894_WPSOffice_Level1"/>
      <w:r>
        <w:rPr>
          <w:rFonts w:ascii="Times New Roman" w:hAnsi="Times New Roman" w:eastAsia="宋体" w:cs="Times New Roman"/>
          <w:b/>
          <w:szCs w:val="21"/>
        </w:rPr>
        <w:t>11.保密义务</w:t>
      </w:r>
      <w:bookmarkEnd w:id="142"/>
    </w:p>
    <w:p>
      <w:pPr>
        <w:tabs>
          <w:tab w:val="left" w:pos="3525"/>
        </w:tabs>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 xml:space="preserve">11.1 乙方及其工作人员应对服务过程及工作文件和在合同履行过程中了解到的涉及甲方商业秘密的资料以及其他尚未公开的有关信息承担保密义务，并采取相应的保密措施。应承担的保密义务包括但不限于： </w:t>
      </w:r>
    </w:p>
    <w:p>
      <w:pPr>
        <w:tabs>
          <w:tab w:val="left" w:pos="3525"/>
        </w:tabs>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11.1.1 未经甲方书面同意，不得将上述工作文件、资料及信息披露给任何第三人；</w:t>
      </w:r>
    </w:p>
    <w:p>
      <w:pPr>
        <w:tabs>
          <w:tab w:val="left" w:pos="3525"/>
        </w:tabs>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11.1.2 不得将上述工作文件、资料及信息用于本合同以外的其他目的；</w:t>
      </w:r>
    </w:p>
    <w:p>
      <w:pPr>
        <w:tabs>
          <w:tab w:val="left" w:pos="3525"/>
        </w:tabs>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11.2 上述保密义务的期限至工作文件及相关资料或信息正式向社会公开之日或采购人书面解除乙方此合同项下保密义务之日止。</w:t>
      </w:r>
    </w:p>
    <w:p>
      <w:pPr>
        <w:tabs>
          <w:tab w:val="left" w:pos="3525"/>
        </w:tabs>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eastAsia="宋体" w:cs="Times New Roman"/>
          <w:szCs w:val="21"/>
        </w:rPr>
        <w:t>11.3 乙方违反保密义务的，应承担一切法律责任并赔偿采购人因此遭受的全部损失。</w:t>
      </w:r>
    </w:p>
    <w:p>
      <w:pPr>
        <w:tabs>
          <w:tab w:val="left" w:pos="3525"/>
        </w:tabs>
        <w:adjustRightInd w:val="0"/>
        <w:snapToGrid w:val="0"/>
        <w:spacing w:line="440" w:lineRule="exact"/>
        <w:ind w:firstLine="367" w:firstLineChars="175"/>
        <w:rPr>
          <w:rFonts w:ascii="Times New Roman" w:hAnsi="Times New Roman" w:eastAsia="宋体" w:cs="Times New Roman"/>
          <w:b/>
          <w:szCs w:val="21"/>
        </w:rPr>
      </w:pPr>
      <w:bookmarkStart w:id="143" w:name="_Toc15263_WPSOffice_Level1"/>
      <w:r>
        <w:rPr>
          <w:rFonts w:ascii="Times New Roman" w:hAnsi="Times New Roman" w:eastAsia="宋体" w:cs="Times New Roman"/>
          <w:b/>
          <w:szCs w:val="21"/>
        </w:rPr>
        <w:t>12、争议的解决</w:t>
      </w:r>
      <w:bookmarkEnd w:id="143"/>
      <w:r>
        <w:rPr>
          <w:rFonts w:ascii="Times New Roman" w:hAnsi="Times New Roman" w:eastAsia="宋体" w:cs="Times New Roman"/>
          <w:b/>
          <w:szCs w:val="21"/>
        </w:rPr>
        <w:tab/>
      </w:r>
    </w:p>
    <w:p>
      <w:pPr>
        <w:adjustRightInd w:val="0"/>
        <w:snapToGrid w:val="0"/>
        <w:spacing w:line="440" w:lineRule="exact"/>
        <w:ind w:firstLine="367" w:firstLineChars="175"/>
        <w:rPr>
          <w:rFonts w:ascii="Times New Roman" w:hAnsi="Times New Roman" w:eastAsia="宋体" w:cs="Times New Roman"/>
          <w:szCs w:val="21"/>
        </w:rPr>
      </w:pPr>
      <w:r>
        <w:rPr>
          <w:rFonts w:ascii="Times New Roman" w:hAnsi="Times New Roman" w:cs="Times New Roman"/>
        </w:rPr>
        <w:t>本合同发生争议，由当事人双方协商解决。若经过协商仍不能达成一致时，则通过向甲方所在地人民法院诉讼解决纠纷。</w:t>
      </w:r>
    </w:p>
    <w:p>
      <w:pPr>
        <w:pStyle w:val="2"/>
        <w:rPr>
          <w:rFonts w:ascii="Times New Roman" w:hAnsi="Times New Roman" w:cs="Times New Roman"/>
        </w:rPr>
      </w:pPr>
    </w:p>
    <w:p>
      <w:pPr>
        <w:rPr>
          <w:rFonts w:ascii="Times New Roman" w:hAnsi="Times New Roman" w:cs="Times New Roman"/>
          <w:b/>
          <w:bCs/>
          <w:sz w:val="22"/>
        </w:rPr>
      </w:pPr>
      <w:bookmarkStart w:id="144" w:name="_Toc144974827"/>
      <w:bookmarkStart w:id="145" w:name="_Toc152045768"/>
      <w:bookmarkStart w:id="146" w:name="_Toc11316"/>
      <w:bookmarkStart w:id="147" w:name="_Toc14663"/>
      <w:bookmarkStart w:id="148" w:name="_Toc6271_WPSOffice_Level2"/>
      <w:bookmarkStart w:id="149" w:name="_Toc21281"/>
      <w:bookmarkStart w:id="150" w:name="_Toc7456"/>
      <w:bookmarkStart w:id="151" w:name="_Toc152042547"/>
      <w:bookmarkStart w:id="152" w:name="_Toc179632786"/>
    </w:p>
    <w:p>
      <w:pPr>
        <w:pStyle w:val="2"/>
        <w:spacing w:line="360" w:lineRule="auto"/>
        <w:jc w:val="left"/>
        <w:rPr>
          <w:rFonts w:ascii="Times New Roman" w:hAnsi="Times New Roman" w:cs="Times New Roman"/>
          <w:b/>
          <w:bCs/>
          <w:sz w:val="22"/>
        </w:rPr>
      </w:pPr>
      <w:bookmarkStart w:id="153" w:name="_Toc12634_WPSOffice_Level1"/>
      <w:r>
        <w:rPr>
          <w:rFonts w:ascii="Times New Roman" w:hAnsi="Times New Roman" w:cs="Times New Roman"/>
          <w:b/>
          <w:bCs/>
          <w:sz w:val="22"/>
        </w:rPr>
        <w:t>附件一：合同协议书</w:t>
      </w:r>
      <w:bookmarkEnd w:id="144"/>
      <w:bookmarkEnd w:id="145"/>
      <w:bookmarkEnd w:id="146"/>
      <w:bookmarkEnd w:id="147"/>
      <w:bookmarkEnd w:id="148"/>
      <w:bookmarkEnd w:id="149"/>
      <w:bookmarkEnd w:id="150"/>
      <w:bookmarkEnd w:id="151"/>
      <w:bookmarkEnd w:id="152"/>
      <w:bookmarkEnd w:id="153"/>
    </w:p>
    <w:p>
      <w:pPr>
        <w:pStyle w:val="2"/>
        <w:spacing w:after="0" w:line="360" w:lineRule="auto"/>
        <w:jc w:val="center"/>
        <w:rPr>
          <w:rFonts w:ascii="宋体" w:hAnsi="宋体"/>
          <w:b/>
          <w:bCs/>
          <w:sz w:val="28"/>
          <w:szCs w:val="28"/>
        </w:rPr>
      </w:pPr>
      <w:r>
        <w:rPr>
          <w:rFonts w:hint="eastAsia" w:ascii="宋体" w:hAnsi="宋体"/>
          <w:b/>
          <w:bCs/>
          <w:sz w:val="28"/>
          <w:szCs w:val="28"/>
        </w:rPr>
        <w:t>车辆保险合同（示例）</w:t>
      </w:r>
    </w:p>
    <w:p>
      <w:pPr>
        <w:pStyle w:val="2"/>
        <w:spacing w:after="0" w:line="360" w:lineRule="auto"/>
        <w:ind w:firstLine="420" w:firstLineChars="200"/>
        <w:rPr>
          <w:rFonts w:ascii="宋体" w:hAnsi="宋体"/>
          <w:szCs w:val="21"/>
        </w:rPr>
      </w:pPr>
      <w:r>
        <w:rPr>
          <w:rFonts w:hint="eastAsia" w:ascii="宋体" w:hAnsi="宋体"/>
          <w:szCs w:val="21"/>
        </w:rPr>
        <w:t>甲方：安徽省交通控股集团有限公司养护管理中心</w:t>
      </w:r>
    </w:p>
    <w:p>
      <w:pPr>
        <w:pStyle w:val="2"/>
        <w:spacing w:after="0" w:line="360" w:lineRule="auto"/>
        <w:ind w:firstLine="420" w:firstLineChars="200"/>
        <w:rPr>
          <w:rFonts w:ascii="宋体" w:hAnsi="宋体"/>
          <w:szCs w:val="21"/>
        </w:rPr>
      </w:pPr>
      <w:r>
        <w:rPr>
          <w:rFonts w:hint="eastAsia" w:ascii="宋体" w:hAnsi="宋体"/>
          <w:szCs w:val="21"/>
        </w:rPr>
        <w:t>乙方：</w:t>
      </w:r>
    </w:p>
    <w:p>
      <w:pPr>
        <w:pStyle w:val="2"/>
        <w:spacing w:after="0" w:line="360" w:lineRule="auto"/>
        <w:ind w:firstLine="420" w:firstLineChars="200"/>
        <w:rPr>
          <w:rFonts w:ascii="宋体" w:hAnsi="宋体"/>
          <w:szCs w:val="21"/>
        </w:rPr>
      </w:pPr>
      <w:r>
        <w:rPr>
          <w:rFonts w:hint="eastAsia" w:ascii="宋体" w:hAnsi="宋体"/>
          <w:szCs w:val="21"/>
        </w:rPr>
        <w:t>甲方所属车辆保险经甲乙双方共同协商，就甲方所属车辆定点集中承保事宜签订本合同，双方应严格遵守并履行本合同所列内容。</w:t>
      </w:r>
    </w:p>
    <w:p>
      <w:pPr>
        <w:pStyle w:val="2"/>
        <w:spacing w:after="0" w:line="360" w:lineRule="auto"/>
        <w:ind w:firstLine="420" w:firstLineChars="200"/>
        <w:rPr>
          <w:rFonts w:ascii="宋体" w:hAnsi="宋体"/>
          <w:b/>
          <w:bCs/>
          <w:szCs w:val="21"/>
        </w:rPr>
      </w:pPr>
      <w:r>
        <w:rPr>
          <w:rFonts w:hint="eastAsia" w:ascii="宋体" w:hAnsi="宋体"/>
          <w:b/>
          <w:bCs/>
          <w:szCs w:val="21"/>
        </w:rPr>
        <w:t>一、甲方所属车辆保险范围</w:t>
      </w:r>
    </w:p>
    <w:p>
      <w:pPr>
        <w:pStyle w:val="2"/>
        <w:spacing w:after="0" w:line="360" w:lineRule="auto"/>
        <w:ind w:firstLine="420" w:firstLineChars="200"/>
        <w:rPr>
          <w:rFonts w:ascii="宋体" w:hAnsi="宋体"/>
          <w:szCs w:val="21"/>
        </w:rPr>
      </w:pPr>
      <w:r>
        <w:rPr>
          <w:rFonts w:hint="eastAsia" w:ascii="宋体" w:hAnsi="宋体"/>
          <w:szCs w:val="21"/>
        </w:rPr>
        <w:t>本次共计43台车辆,具体以报价清单车辆信息为准，保险期限为一年,分三年连续投保。</w:t>
      </w:r>
    </w:p>
    <w:p>
      <w:pPr>
        <w:pStyle w:val="2"/>
        <w:spacing w:after="0" w:line="360" w:lineRule="auto"/>
        <w:ind w:firstLine="420" w:firstLineChars="200"/>
        <w:rPr>
          <w:rFonts w:ascii="宋体" w:hAnsi="宋体"/>
          <w:b/>
          <w:bCs/>
          <w:szCs w:val="21"/>
        </w:rPr>
      </w:pPr>
      <w:r>
        <w:rPr>
          <w:rFonts w:hint="eastAsia" w:ascii="宋体" w:hAnsi="宋体"/>
          <w:b/>
          <w:bCs/>
          <w:szCs w:val="21"/>
        </w:rPr>
        <w:t>二、甲方车辆集中保险合同的基本内容</w:t>
      </w:r>
    </w:p>
    <w:p>
      <w:pPr>
        <w:pStyle w:val="2"/>
        <w:spacing w:after="0" w:line="360" w:lineRule="auto"/>
        <w:ind w:firstLine="420" w:firstLineChars="200"/>
        <w:rPr>
          <w:rFonts w:ascii="宋体" w:hAnsi="宋体"/>
          <w:szCs w:val="21"/>
        </w:rPr>
      </w:pPr>
      <w:r>
        <w:rPr>
          <w:rFonts w:hint="eastAsia" w:ascii="宋体" w:hAnsi="宋体"/>
          <w:szCs w:val="21"/>
        </w:rPr>
        <w:t>1.甲方根据此次非招标采购方式，确定了所属车辆保险承保单位为：</w:t>
      </w:r>
      <w:r>
        <w:rPr>
          <w:rFonts w:hint="eastAsia" w:ascii="宋体" w:hAnsi="宋体"/>
          <w:szCs w:val="21"/>
          <w:u w:val="single"/>
        </w:rPr>
        <w:t xml:space="preserve">                     </w:t>
      </w:r>
      <w:r>
        <w:rPr>
          <w:rFonts w:hint="eastAsia" w:ascii="宋体" w:hAnsi="宋体"/>
          <w:szCs w:val="21"/>
        </w:rPr>
        <w:t>。乙方应根据《中华人民共和国保险法》和甲方要求，严格按照询比文件要求承办车辆保险业务。</w:t>
      </w:r>
    </w:p>
    <w:p>
      <w:pPr>
        <w:pStyle w:val="2"/>
        <w:spacing w:after="0" w:line="360" w:lineRule="auto"/>
        <w:ind w:firstLine="420" w:firstLineChars="200"/>
        <w:rPr>
          <w:rFonts w:ascii="宋体" w:hAnsi="宋体"/>
          <w:szCs w:val="21"/>
        </w:rPr>
      </w:pPr>
      <w:r>
        <w:rPr>
          <w:rFonts w:hint="eastAsia" w:ascii="宋体" w:hAnsi="宋体"/>
          <w:szCs w:val="21"/>
        </w:rPr>
        <w:t>2.投保险种</w:t>
      </w:r>
    </w:p>
    <w:p>
      <w:pPr>
        <w:pStyle w:val="2"/>
        <w:spacing w:after="0" w:line="360" w:lineRule="auto"/>
        <w:ind w:firstLine="420" w:firstLineChars="200"/>
        <w:rPr>
          <w:rFonts w:ascii="宋体" w:hAnsi="宋体"/>
          <w:szCs w:val="21"/>
        </w:rPr>
      </w:pPr>
      <w:r>
        <w:rPr>
          <w:rFonts w:hint="eastAsia" w:ascii="宋体" w:hAnsi="宋体"/>
          <w:szCs w:val="21"/>
        </w:rPr>
        <w:t>本着节约资金的原则，根据对本地机动车辆主要风险的评估，投保的基本险种为：</w:t>
      </w:r>
    </w:p>
    <w:p>
      <w:pPr>
        <w:pStyle w:val="2"/>
        <w:spacing w:after="0" w:line="360" w:lineRule="auto"/>
        <w:ind w:firstLine="420" w:firstLineChars="200"/>
        <w:rPr>
          <w:rFonts w:ascii="宋体" w:hAnsi="宋体"/>
          <w:szCs w:val="21"/>
        </w:rPr>
      </w:pPr>
      <w:r>
        <w:rPr>
          <w:rFonts w:hint="eastAsia" w:ascii="宋体" w:hAnsi="宋体"/>
          <w:szCs w:val="21"/>
        </w:rPr>
        <w:t>1）商业险：车辆损失险、第三者责任险（100万元）、驾驶员险（10万元）、车上乘客每座人员险（1万元）；车辆损失险的保险金额依据车辆实际价值足额投保，其余附加险种甲方可根据实际需求确定投保险种及附加。</w:t>
      </w:r>
    </w:p>
    <w:p>
      <w:pPr>
        <w:pStyle w:val="2"/>
        <w:spacing w:after="0" w:line="360" w:lineRule="auto"/>
        <w:ind w:firstLine="420" w:firstLineChars="200"/>
        <w:rPr>
          <w:rFonts w:ascii="宋体" w:hAnsi="宋体"/>
          <w:szCs w:val="21"/>
        </w:rPr>
      </w:pPr>
      <w:r>
        <w:rPr>
          <w:rFonts w:hint="eastAsia" w:ascii="宋体" w:hAnsi="宋体"/>
          <w:szCs w:val="21"/>
        </w:rPr>
        <w:t>2）机动车交通事故责任强制保险并代缴车船税。</w:t>
      </w:r>
    </w:p>
    <w:p>
      <w:pPr>
        <w:pStyle w:val="2"/>
        <w:spacing w:after="0" w:line="360" w:lineRule="auto"/>
        <w:ind w:firstLine="420" w:firstLineChars="200"/>
        <w:rPr>
          <w:rFonts w:ascii="宋体" w:hAnsi="宋体"/>
          <w:szCs w:val="21"/>
        </w:rPr>
      </w:pPr>
      <w:r>
        <w:rPr>
          <w:rFonts w:hint="eastAsia" w:ascii="宋体" w:hAnsi="宋体"/>
          <w:szCs w:val="21"/>
        </w:rPr>
        <w:t>3.保险价格</w:t>
      </w:r>
    </w:p>
    <w:p>
      <w:pPr>
        <w:pStyle w:val="2"/>
        <w:spacing w:after="0" w:line="360" w:lineRule="auto"/>
        <w:ind w:firstLine="420" w:firstLineChars="200"/>
        <w:rPr>
          <w:rFonts w:ascii="宋体" w:hAnsi="宋体"/>
          <w:szCs w:val="21"/>
        </w:rPr>
      </w:pPr>
      <w:r>
        <w:rPr>
          <w:rFonts w:hint="eastAsia" w:ascii="宋体" w:hAnsi="宋体"/>
          <w:szCs w:val="21"/>
        </w:rPr>
        <w:t>1）车辆保险保费签约合同价为（含税）：人民币（大写）</w:t>
      </w:r>
      <w:r>
        <w:rPr>
          <w:rFonts w:hint="eastAsia" w:ascii="宋体" w:hAnsi="宋体"/>
          <w:szCs w:val="21"/>
          <w:u w:val="single"/>
        </w:rPr>
        <w:t xml:space="preserve">       </w:t>
      </w:r>
      <w:r>
        <w:rPr>
          <w:rFonts w:hint="eastAsia" w:ascii="宋体" w:hAnsi="宋体"/>
          <w:szCs w:val="21"/>
        </w:rPr>
        <w:t>（</w:t>
      </w:r>
      <w:r>
        <w:rPr>
          <w:rFonts w:ascii="Arial" w:hAnsi="Arial" w:cs="Arial"/>
          <w:szCs w:val="21"/>
        </w:rPr>
        <w:t>¥</w:t>
      </w:r>
      <w:r>
        <w:rPr>
          <w:rFonts w:hint="eastAsia" w:ascii="宋体" w:hAnsi="宋体"/>
          <w:szCs w:val="21"/>
          <w:u w:val="single"/>
        </w:rPr>
        <w:t xml:space="preserve">       </w:t>
      </w:r>
      <w:r>
        <w:rPr>
          <w:rFonts w:hint="eastAsia" w:ascii="宋体" w:hAnsi="宋体"/>
          <w:szCs w:val="21"/>
        </w:rPr>
        <w:t>元）。</w:t>
      </w:r>
    </w:p>
    <w:p>
      <w:pPr>
        <w:pStyle w:val="2"/>
        <w:spacing w:after="0" w:line="360" w:lineRule="auto"/>
        <w:ind w:firstLine="420" w:firstLineChars="200"/>
        <w:rPr>
          <w:rFonts w:ascii="宋体" w:hAnsi="宋体"/>
          <w:szCs w:val="21"/>
        </w:rPr>
      </w:pPr>
      <w:r>
        <w:rPr>
          <w:rFonts w:hint="eastAsia" w:ascii="宋体" w:hAnsi="宋体"/>
          <w:szCs w:val="21"/>
        </w:rPr>
        <w:t>2）甲方新购车辆购买保险时原则上参照甲方相同型号车型或相近车型的报价，保单生效后保险价格不因政策调整而调整，国家强制规定除外。</w:t>
      </w:r>
    </w:p>
    <w:p>
      <w:pPr>
        <w:pStyle w:val="2"/>
        <w:spacing w:after="0" w:line="360" w:lineRule="auto"/>
        <w:ind w:firstLine="420" w:firstLineChars="200"/>
        <w:rPr>
          <w:rFonts w:ascii="宋体" w:hAnsi="宋体"/>
          <w:szCs w:val="21"/>
        </w:rPr>
      </w:pPr>
      <w:r>
        <w:rPr>
          <w:rFonts w:hint="eastAsia" w:ascii="宋体" w:hAnsi="宋体"/>
          <w:szCs w:val="21"/>
        </w:rPr>
        <w:t>4.保险期限</w:t>
      </w:r>
    </w:p>
    <w:p>
      <w:pPr>
        <w:pStyle w:val="2"/>
        <w:spacing w:after="0"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月保险到期车辆（每辆车具体投保期限和险种由甲方确定）。</w:t>
      </w:r>
    </w:p>
    <w:p>
      <w:pPr>
        <w:pStyle w:val="2"/>
        <w:spacing w:after="0" w:line="360" w:lineRule="auto"/>
        <w:ind w:firstLine="420" w:firstLineChars="200"/>
        <w:rPr>
          <w:rFonts w:ascii="宋体" w:hAnsi="宋体"/>
          <w:szCs w:val="21"/>
        </w:rPr>
      </w:pPr>
      <w:r>
        <w:rPr>
          <w:rFonts w:hint="eastAsia" w:ascii="宋体" w:hAnsi="宋体"/>
          <w:szCs w:val="21"/>
        </w:rPr>
        <w:t>备注:单车投保期限为一年,分三年连续投保.</w:t>
      </w:r>
    </w:p>
    <w:p>
      <w:pPr>
        <w:pStyle w:val="2"/>
        <w:spacing w:after="0" w:line="360" w:lineRule="auto"/>
        <w:ind w:firstLine="420" w:firstLineChars="200"/>
        <w:rPr>
          <w:rFonts w:ascii="宋体" w:hAnsi="宋体"/>
          <w:b/>
          <w:bCs/>
          <w:szCs w:val="21"/>
        </w:rPr>
      </w:pPr>
      <w:r>
        <w:rPr>
          <w:rFonts w:hint="eastAsia" w:ascii="宋体" w:hAnsi="宋体"/>
          <w:b/>
          <w:bCs/>
          <w:szCs w:val="21"/>
        </w:rPr>
        <w:t>三、双方责任、权利和义务</w:t>
      </w:r>
    </w:p>
    <w:p>
      <w:pPr>
        <w:pStyle w:val="2"/>
        <w:spacing w:after="0" w:line="360" w:lineRule="auto"/>
        <w:ind w:firstLine="420" w:firstLineChars="200"/>
        <w:rPr>
          <w:rFonts w:ascii="宋体" w:hAnsi="宋体"/>
          <w:szCs w:val="21"/>
        </w:rPr>
      </w:pPr>
      <w:r>
        <w:rPr>
          <w:rFonts w:hint="eastAsia" w:ascii="宋体" w:hAnsi="宋体"/>
          <w:szCs w:val="21"/>
        </w:rPr>
        <w:t>甲方的责任、权利和义务</w:t>
      </w:r>
    </w:p>
    <w:p>
      <w:pPr>
        <w:pStyle w:val="2"/>
        <w:spacing w:after="0" w:line="360" w:lineRule="auto"/>
        <w:ind w:firstLine="420" w:firstLineChars="200"/>
        <w:rPr>
          <w:rFonts w:ascii="宋体" w:hAnsi="宋体"/>
          <w:szCs w:val="21"/>
        </w:rPr>
      </w:pPr>
      <w:r>
        <w:rPr>
          <w:rFonts w:hint="eastAsia" w:ascii="宋体" w:hAnsi="宋体"/>
          <w:szCs w:val="21"/>
        </w:rPr>
        <w:t>1.根据本地区机动车辆存在的主要风险，核定车辆保险的承保项目范围，提供所属单位名录。</w:t>
      </w:r>
    </w:p>
    <w:p>
      <w:pPr>
        <w:pStyle w:val="2"/>
        <w:spacing w:after="0" w:line="360" w:lineRule="auto"/>
        <w:ind w:firstLine="420" w:firstLineChars="200"/>
        <w:rPr>
          <w:rFonts w:ascii="宋体" w:hAnsi="宋体"/>
          <w:szCs w:val="21"/>
        </w:rPr>
      </w:pPr>
      <w:r>
        <w:rPr>
          <w:rFonts w:hint="eastAsia" w:ascii="宋体" w:hAnsi="宋体"/>
          <w:szCs w:val="21"/>
        </w:rPr>
        <w:t>2.代表车辆所属单位与车辆承保公司签订保险合同；全过程参与、监督、评估车辆保险合同的履行。</w:t>
      </w:r>
    </w:p>
    <w:p>
      <w:pPr>
        <w:pStyle w:val="2"/>
        <w:spacing w:after="0" w:line="360" w:lineRule="auto"/>
        <w:ind w:firstLine="420" w:firstLineChars="200"/>
        <w:jc w:val="left"/>
        <w:rPr>
          <w:rFonts w:ascii="宋体" w:hAnsi="宋体"/>
          <w:szCs w:val="21"/>
        </w:rPr>
      </w:pPr>
      <w:r>
        <w:rPr>
          <w:rFonts w:hint="eastAsia" w:ascii="宋体" w:hAnsi="宋体"/>
          <w:szCs w:val="21"/>
        </w:rPr>
        <w:t>3.督促乙方按要求履行《安徽省交通控股集团有限公司养护管理中心与</w:t>
      </w:r>
      <w:r>
        <w:rPr>
          <w:rFonts w:hint="eastAsia" w:ascii="宋体" w:hAnsi="宋体"/>
          <w:szCs w:val="21"/>
          <w:u w:val="single"/>
        </w:rPr>
        <w:t xml:space="preserve">        </w:t>
      </w:r>
      <w:r>
        <w:rPr>
          <w:rFonts w:hint="eastAsia" w:ascii="宋体" w:hAnsi="宋体"/>
          <w:szCs w:val="21"/>
        </w:rPr>
        <w:t>签定的车辆保险合同》（以下简称《车辆保险合同》）。</w:t>
      </w:r>
    </w:p>
    <w:p>
      <w:pPr>
        <w:pStyle w:val="2"/>
        <w:spacing w:after="0" w:line="360" w:lineRule="auto"/>
        <w:ind w:firstLine="420" w:firstLineChars="200"/>
        <w:rPr>
          <w:rFonts w:ascii="宋体" w:hAnsi="宋体"/>
          <w:szCs w:val="21"/>
        </w:rPr>
      </w:pPr>
      <w:r>
        <w:rPr>
          <w:rFonts w:hint="eastAsia" w:ascii="宋体" w:hAnsi="宋体"/>
          <w:b/>
          <w:bCs/>
          <w:szCs w:val="21"/>
        </w:rPr>
        <w:t>乙方的责任和义务</w:t>
      </w:r>
    </w:p>
    <w:p>
      <w:pPr>
        <w:pStyle w:val="2"/>
        <w:spacing w:after="0" w:line="360" w:lineRule="auto"/>
        <w:ind w:firstLine="420" w:firstLineChars="200"/>
        <w:rPr>
          <w:rFonts w:ascii="宋体" w:hAnsi="宋体"/>
          <w:szCs w:val="21"/>
        </w:rPr>
      </w:pPr>
      <w:r>
        <w:rPr>
          <w:rFonts w:hint="eastAsia" w:ascii="宋体" w:hAnsi="宋体"/>
          <w:szCs w:val="21"/>
        </w:rPr>
        <w:t>1.针对本项目理赔服务有专人负责及理赔服务承诺（应有具体成员名单，包括姓名、职务、职称、工作职责、联系方式等）；指导甲方全程办理相关的索赔手续；承保车辆保险期满前一个月，应及时提醒甲方到期保险车辆及时续保。</w:t>
      </w:r>
    </w:p>
    <w:p>
      <w:pPr>
        <w:pStyle w:val="2"/>
        <w:spacing w:after="0" w:line="360" w:lineRule="auto"/>
        <w:ind w:firstLine="420" w:firstLineChars="200"/>
        <w:rPr>
          <w:rFonts w:ascii="宋体" w:hAnsi="宋体"/>
          <w:szCs w:val="21"/>
        </w:rPr>
      </w:pPr>
      <w:r>
        <w:rPr>
          <w:rFonts w:hint="eastAsia" w:ascii="宋体" w:hAnsi="宋体"/>
          <w:szCs w:val="21"/>
        </w:rPr>
        <w:t>2.乙方最新的快速理赔技术服务，通过移动视频查勘新技术，实现查勘、定损、报价、核损一次性完成，最大限度缩短理赔时限，提高理赔效率。</w:t>
      </w:r>
    </w:p>
    <w:p>
      <w:pPr>
        <w:pStyle w:val="2"/>
        <w:spacing w:after="0" w:line="360" w:lineRule="auto"/>
        <w:ind w:firstLine="420" w:firstLineChars="200"/>
        <w:rPr>
          <w:rFonts w:ascii="宋体" w:hAnsi="宋体"/>
          <w:szCs w:val="21"/>
        </w:rPr>
      </w:pPr>
      <w:r>
        <w:rPr>
          <w:rFonts w:hint="eastAsia" w:ascii="宋体" w:hAnsi="宋体"/>
          <w:szCs w:val="21"/>
        </w:rPr>
        <w:t>接到报案后查勘员15分钟内主动与客户联系，确认事故车辆确切位置，约定查勘时间，并在双方约定的时间内完成查勘任务。若需要进行现场查勘的，城区内在30分钟内、郊区40分钟内到达，因客观原因无法按照约定时间到达事故现场，可做以下处理：</w:t>
      </w:r>
    </w:p>
    <w:p>
      <w:pPr>
        <w:pStyle w:val="2"/>
        <w:spacing w:after="0" w:line="360" w:lineRule="auto"/>
        <w:ind w:firstLine="420" w:firstLineChars="200"/>
        <w:rPr>
          <w:rFonts w:ascii="宋体" w:hAnsi="宋体"/>
          <w:szCs w:val="21"/>
        </w:rPr>
      </w:pPr>
      <w:r>
        <w:rPr>
          <w:rFonts w:hint="eastAsia" w:ascii="宋体" w:hAnsi="宋体"/>
          <w:szCs w:val="21"/>
        </w:rPr>
        <w:t xml:space="preserve">1）属单方事故的，可凭自行拍摄的含有车辆牌照的第一现场照片（手机拍摄也可），贵方车辆因特殊情况时间急迫无法现场等待的，可先行离开，事后复勘现场。对于预估车辆损失金额在人民币5000元（含5000元）以内的，直接定损进行修理，无需提供发票及单证（零单证）即可进行赔款支付； </w:t>
      </w:r>
    </w:p>
    <w:p>
      <w:pPr>
        <w:pStyle w:val="2"/>
        <w:spacing w:after="0" w:line="360" w:lineRule="auto"/>
        <w:ind w:firstLine="420" w:firstLineChars="200"/>
        <w:rPr>
          <w:rFonts w:ascii="宋体" w:hAnsi="宋体"/>
          <w:szCs w:val="21"/>
        </w:rPr>
      </w:pPr>
      <w:r>
        <w:rPr>
          <w:rFonts w:hint="eastAsia" w:ascii="宋体" w:hAnsi="宋体"/>
          <w:szCs w:val="21"/>
        </w:rPr>
        <w:t>2）属于双方事故或涉及人伤的事故及时报交警处理即可；</w:t>
      </w:r>
    </w:p>
    <w:p>
      <w:pPr>
        <w:pStyle w:val="2"/>
        <w:spacing w:after="0" w:line="360" w:lineRule="auto"/>
        <w:ind w:firstLine="420" w:firstLineChars="200"/>
        <w:rPr>
          <w:rFonts w:ascii="宋体" w:hAnsi="宋体"/>
          <w:szCs w:val="21"/>
        </w:rPr>
      </w:pPr>
      <w:r>
        <w:rPr>
          <w:rFonts w:hint="eastAsia" w:ascii="宋体" w:hAnsi="宋体"/>
          <w:szCs w:val="21"/>
        </w:rPr>
        <w:t>3）异地出险经报案后，由当地</w:t>
      </w:r>
      <w:r>
        <w:rPr>
          <w:rFonts w:hint="eastAsia" w:ascii="宋体" w:hAnsi="宋体"/>
          <w:szCs w:val="21"/>
          <w:u w:val="single"/>
        </w:rPr>
        <w:t xml:space="preserve">            </w:t>
      </w:r>
      <w:r>
        <w:rPr>
          <w:rFonts w:hint="eastAsia" w:ascii="宋体" w:hAnsi="宋体"/>
          <w:szCs w:val="21"/>
        </w:rPr>
        <w:t>保险公司及时进行查勘、定损、理赔，享受优惠服务政策不变，并由专员负责协助办理至结案。</w:t>
      </w:r>
    </w:p>
    <w:p>
      <w:pPr>
        <w:pStyle w:val="2"/>
        <w:spacing w:after="0" w:line="360" w:lineRule="auto"/>
        <w:ind w:firstLine="420" w:firstLineChars="200"/>
        <w:rPr>
          <w:rFonts w:ascii="宋体" w:hAnsi="宋体"/>
          <w:szCs w:val="21"/>
        </w:rPr>
      </w:pPr>
      <w:r>
        <w:rPr>
          <w:rFonts w:hint="eastAsia" w:ascii="宋体" w:hAnsi="宋体"/>
          <w:szCs w:val="21"/>
        </w:rPr>
        <w:t>3.在出险车辆进行定损、修理时，承诺对配件价格实行现场报价，不能现场报价最晚应于24小时内核准。并保证配件为原厂或正厂全新配件，且在对个别配件报价金额上若三方（指甲方、乙方、汽车修理厂家（含汽车修理4S店、汽车修理特约维修点等））有分歧的，承诺以当地市场价格为准或由乙方在3个工作日内提供原厂或正厂全新配件；修理工时费用以市场价格和物价部门、交通主管部门核定的价格为依据；同时，乙方在为甲方处理理赔、修理受损车辆时，不指定修理厂，由甲方自主选择，如果甲方要求乙方协助联系修理厂家，乙方可推荐介绍信誉好的专业修理厂家供甲方选择。</w:t>
      </w:r>
    </w:p>
    <w:p>
      <w:pPr>
        <w:pStyle w:val="2"/>
        <w:spacing w:after="0" w:line="360" w:lineRule="auto"/>
        <w:ind w:firstLine="420" w:firstLineChars="200"/>
        <w:rPr>
          <w:rFonts w:ascii="宋体" w:hAnsi="宋体"/>
          <w:szCs w:val="21"/>
        </w:rPr>
      </w:pPr>
      <w:r>
        <w:rPr>
          <w:rFonts w:hint="eastAsia" w:ascii="宋体" w:hAnsi="宋体"/>
          <w:szCs w:val="21"/>
        </w:rPr>
        <w:t>4.对于重大事故或因特殊原因不能按期结案的，经车属单位申请，保险责任相对明确，乙方应在保险责任相对明确后5个工作日内提供能确定的人员受伤相关费用及车辆损失金额50％的预付赔款。</w:t>
      </w:r>
    </w:p>
    <w:p>
      <w:pPr>
        <w:pStyle w:val="2"/>
        <w:spacing w:after="0" w:line="360" w:lineRule="auto"/>
        <w:ind w:firstLine="420" w:firstLineChars="200"/>
        <w:rPr>
          <w:rFonts w:ascii="宋体" w:hAnsi="宋体"/>
          <w:szCs w:val="21"/>
        </w:rPr>
      </w:pPr>
      <w:r>
        <w:rPr>
          <w:rFonts w:hint="eastAsia" w:ascii="宋体" w:hAnsi="宋体"/>
          <w:szCs w:val="21"/>
        </w:rPr>
        <w:t>5.被保险车辆发生双方事故，事故双方车辆均在乙方承保，经乙方现场查勘，事故成因真实且双方协议一致，索赔时可以不提供交警部门事故责任认定书；直接办理理赔（损失金额在1万元以内且无人伤）。</w:t>
      </w:r>
    </w:p>
    <w:p>
      <w:pPr>
        <w:pStyle w:val="2"/>
        <w:spacing w:after="0" w:line="360" w:lineRule="auto"/>
        <w:ind w:firstLine="420" w:firstLineChars="200"/>
        <w:rPr>
          <w:rFonts w:ascii="宋体" w:hAnsi="宋体"/>
          <w:szCs w:val="21"/>
        </w:rPr>
      </w:pPr>
      <w:r>
        <w:rPr>
          <w:rFonts w:hint="eastAsia" w:ascii="宋体" w:hAnsi="宋体"/>
          <w:szCs w:val="21"/>
        </w:rPr>
        <w:t>6.因第三者对投保单位保险标的的损害而造成保险事故的，本公司自向被保险人赔偿保险金之日起，在赔偿金额范围内代位行使被保险人对第三者请求赔偿的权利。投保单位已经从第三者取得损害赔偿的，保险人赔偿保险金时，可以相应扣减被保险人从第三者已取得的赔偿金额；</w:t>
      </w:r>
    </w:p>
    <w:p>
      <w:pPr>
        <w:pStyle w:val="2"/>
        <w:spacing w:after="0" w:line="360" w:lineRule="auto"/>
        <w:ind w:firstLine="420" w:firstLineChars="200"/>
        <w:rPr>
          <w:rFonts w:ascii="宋体" w:hAnsi="宋体"/>
          <w:szCs w:val="21"/>
        </w:rPr>
      </w:pPr>
      <w:r>
        <w:rPr>
          <w:rFonts w:hint="eastAsia" w:ascii="宋体" w:hAnsi="宋体"/>
          <w:szCs w:val="21"/>
        </w:rPr>
        <w:t>7.甲方车辆发生交通事故时所发生的合理施救费用乙方予以赔偿；</w:t>
      </w:r>
    </w:p>
    <w:p>
      <w:pPr>
        <w:pStyle w:val="2"/>
        <w:spacing w:after="0" w:line="360" w:lineRule="auto"/>
        <w:ind w:firstLine="420" w:firstLineChars="200"/>
        <w:rPr>
          <w:rFonts w:ascii="宋体" w:hAnsi="宋体"/>
          <w:szCs w:val="21"/>
        </w:rPr>
      </w:pPr>
      <w:r>
        <w:rPr>
          <w:rFonts w:hint="eastAsia" w:ascii="宋体" w:hAnsi="宋体"/>
          <w:szCs w:val="21"/>
        </w:rPr>
        <w:t>8.甲方车辆之间发生的交通事故，视同互为三者；</w:t>
      </w:r>
    </w:p>
    <w:p>
      <w:pPr>
        <w:pStyle w:val="2"/>
        <w:spacing w:after="0" w:line="360" w:lineRule="auto"/>
        <w:ind w:firstLine="420" w:firstLineChars="200"/>
        <w:rPr>
          <w:rFonts w:ascii="宋体" w:hAnsi="宋体"/>
          <w:szCs w:val="21"/>
        </w:rPr>
      </w:pPr>
      <w:r>
        <w:rPr>
          <w:rFonts w:hint="eastAsia" w:ascii="宋体" w:hAnsi="宋体"/>
          <w:szCs w:val="21"/>
        </w:rPr>
        <w:t>9.甲方车辆发生交通事故（双方事故）损失低于3000元时，乙方将按交通事故理赔简易程序给予理赔；</w:t>
      </w:r>
    </w:p>
    <w:p>
      <w:pPr>
        <w:pStyle w:val="2"/>
        <w:spacing w:after="0" w:line="360" w:lineRule="auto"/>
        <w:ind w:firstLine="420" w:firstLineChars="200"/>
        <w:rPr>
          <w:rFonts w:ascii="宋体" w:hAnsi="宋体"/>
          <w:szCs w:val="21"/>
        </w:rPr>
      </w:pPr>
      <w:r>
        <w:rPr>
          <w:rFonts w:hint="eastAsia" w:ascii="宋体" w:hAnsi="宋体"/>
          <w:szCs w:val="21"/>
        </w:rPr>
        <w:t>10.甲方车辆发生人伤案件，须在县级以上医疗机构救治，受害人治疗期间发生合理的门诊费用和非医保用药乙方可以赔付；</w:t>
      </w:r>
    </w:p>
    <w:p>
      <w:pPr>
        <w:pStyle w:val="2"/>
        <w:spacing w:after="0" w:line="360" w:lineRule="auto"/>
        <w:ind w:firstLine="420" w:firstLineChars="200"/>
        <w:rPr>
          <w:rFonts w:ascii="宋体" w:hAnsi="宋体"/>
          <w:szCs w:val="21"/>
        </w:rPr>
      </w:pPr>
      <w:r>
        <w:rPr>
          <w:rFonts w:hint="eastAsia" w:ascii="宋体" w:hAnsi="宋体"/>
          <w:szCs w:val="21"/>
        </w:rPr>
        <w:t>11.赔付时效</w:t>
      </w:r>
    </w:p>
    <w:p>
      <w:pPr>
        <w:pStyle w:val="2"/>
        <w:spacing w:after="0" w:line="360" w:lineRule="auto"/>
        <w:ind w:firstLine="420" w:firstLineChars="200"/>
        <w:rPr>
          <w:rFonts w:ascii="宋体" w:hAnsi="宋体"/>
          <w:szCs w:val="21"/>
        </w:rPr>
      </w:pPr>
      <w:r>
        <w:rPr>
          <w:rFonts w:hint="eastAsia" w:ascii="宋体" w:hAnsi="宋体"/>
          <w:szCs w:val="21"/>
        </w:rPr>
        <w:t xml:space="preserve">在贵公司提供完整必要的索赔材料后，我司承诺按下列约定时限支付赔款： </w:t>
      </w:r>
    </w:p>
    <w:tbl>
      <w:tblPr>
        <w:tblStyle w:val="21"/>
        <w:tblpPr w:leftFromText="180" w:rightFromText="180" w:vertAnchor="text" w:horzAnchor="page" w:tblpX="2293"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FFCC"/>
        <w:tblLayout w:type="autofit"/>
        <w:tblCellMar>
          <w:top w:w="0" w:type="dxa"/>
          <w:left w:w="108" w:type="dxa"/>
          <w:bottom w:w="0" w:type="dxa"/>
          <w:right w:w="108" w:type="dxa"/>
        </w:tblCellMar>
      </w:tblPr>
      <w:tblGrid>
        <w:gridCol w:w="4738"/>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FFCC"/>
          <w:tblCellMar>
            <w:top w:w="0" w:type="dxa"/>
            <w:left w:w="108" w:type="dxa"/>
            <w:bottom w:w="0" w:type="dxa"/>
            <w:right w:w="108" w:type="dxa"/>
          </w:tblCellMar>
        </w:tblPrEx>
        <w:trPr>
          <w:trHeight w:val="441" w:hRule="atLeast"/>
        </w:trPr>
        <w:tc>
          <w:tcPr>
            <w:tcW w:w="4738" w:type="dxa"/>
            <w:shd w:val="clear" w:color="auto" w:fill="C6D9F1"/>
            <w:tcMar>
              <w:top w:w="170" w:type="dxa"/>
            </w:tcMar>
            <w:vAlign w:val="center"/>
          </w:tcPr>
          <w:p>
            <w:pPr>
              <w:pStyle w:val="2"/>
              <w:jc w:val="center"/>
              <w:rPr>
                <w:rFonts w:ascii="宋体" w:hAnsi="宋体"/>
                <w:szCs w:val="21"/>
              </w:rPr>
            </w:pPr>
            <w:r>
              <w:rPr>
                <w:rFonts w:hint="eastAsia" w:ascii="宋体" w:hAnsi="宋体"/>
                <w:szCs w:val="21"/>
              </w:rPr>
              <w:t>赔 款 金 额</w:t>
            </w:r>
          </w:p>
        </w:tc>
        <w:tc>
          <w:tcPr>
            <w:tcW w:w="2406" w:type="dxa"/>
            <w:shd w:val="clear" w:color="auto" w:fill="C6D9F1"/>
            <w:tcMar>
              <w:top w:w="170" w:type="dxa"/>
            </w:tcMar>
            <w:vAlign w:val="center"/>
          </w:tcPr>
          <w:p>
            <w:pPr>
              <w:pStyle w:val="2"/>
              <w:jc w:val="center"/>
              <w:rPr>
                <w:rFonts w:ascii="宋体" w:hAnsi="宋体"/>
                <w:szCs w:val="21"/>
              </w:rPr>
            </w:pPr>
            <w:r>
              <w:rPr>
                <w:rFonts w:hint="eastAsia" w:ascii="宋体" w:hAnsi="宋体"/>
                <w:szCs w:val="21"/>
              </w:rPr>
              <w:t>结 案 时 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738" w:type="dxa"/>
            <w:shd w:val="clear" w:color="auto" w:fill="auto"/>
            <w:tcMar>
              <w:top w:w="170" w:type="dxa"/>
            </w:tcMar>
            <w:vAlign w:val="center"/>
          </w:tcPr>
          <w:p>
            <w:pPr>
              <w:pStyle w:val="2"/>
              <w:ind w:firstLine="420" w:firstLineChars="200"/>
              <w:rPr>
                <w:rFonts w:ascii="宋体" w:hAnsi="宋体"/>
                <w:szCs w:val="21"/>
              </w:rPr>
            </w:pPr>
            <w:r>
              <w:rPr>
                <w:rFonts w:ascii="Arial" w:hAnsi="Arial" w:cs="Arial"/>
                <w:szCs w:val="21"/>
              </w:rPr>
              <w:t>¥</w:t>
            </w:r>
            <w:r>
              <w:rPr>
                <w:rFonts w:hint="eastAsia" w:ascii="宋体" w:hAnsi="宋体"/>
                <w:szCs w:val="21"/>
              </w:rPr>
              <w:t>5000以下（含</w:t>
            </w:r>
            <w:r>
              <w:rPr>
                <w:rFonts w:ascii="Arial" w:hAnsi="Arial" w:cs="Arial"/>
                <w:szCs w:val="21"/>
              </w:rPr>
              <w:t>¥</w:t>
            </w:r>
            <w:r>
              <w:rPr>
                <w:rFonts w:hint="eastAsia" w:ascii="宋体" w:hAnsi="宋体"/>
                <w:szCs w:val="21"/>
              </w:rPr>
              <w:t>5000）</w:t>
            </w:r>
          </w:p>
        </w:tc>
        <w:tc>
          <w:tcPr>
            <w:tcW w:w="2406" w:type="dxa"/>
            <w:shd w:val="clear" w:color="auto" w:fill="auto"/>
            <w:tcMar>
              <w:top w:w="170" w:type="dxa"/>
            </w:tcMar>
            <w:vAlign w:val="center"/>
          </w:tcPr>
          <w:p>
            <w:pPr>
              <w:pStyle w:val="2"/>
              <w:ind w:firstLine="420" w:firstLineChars="200"/>
              <w:rPr>
                <w:rFonts w:ascii="宋体" w:hAnsi="宋体"/>
                <w:szCs w:val="21"/>
              </w:rPr>
            </w:pPr>
            <w:r>
              <w:rPr>
                <w:rFonts w:hint="eastAsia" w:ascii="宋体" w:hAnsi="宋体"/>
                <w:szCs w:val="21"/>
              </w:rPr>
              <w:t>及时赔付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738" w:type="dxa"/>
            <w:shd w:val="clear" w:color="auto" w:fill="auto"/>
            <w:tcMar>
              <w:top w:w="170" w:type="dxa"/>
            </w:tcMar>
            <w:vAlign w:val="center"/>
          </w:tcPr>
          <w:p>
            <w:pPr>
              <w:pStyle w:val="2"/>
              <w:ind w:firstLine="420" w:firstLineChars="200"/>
              <w:rPr>
                <w:rFonts w:ascii="宋体" w:hAnsi="宋体"/>
                <w:szCs w:val="21"/>
              </w:rPr>
            </w:pPr>
            <w:r>
              <w:rPr>
                <w:rFonts w:ascii="Arial" w:hAnsi="Arial" w:cs="Arial"/>
                <w:szCs w:val="21"/>
              </w:rPr>
              <w:t>¥</w:t>
            </w:r>
            <w:r>
              <w:rPr>
                <w:rFonts w:hint="eastAsia" w:ascii="宋体" w:hAnsi="宋体"/>
                <w:szCs w:val="21"/>
              </w:rPr>
              <w:t>5000～</w:t>
            </w:r>
            <w:r>
              <w:rPr>
                <w:rFonts w:ascii="Arial" w:hAnsi="Arial" w:cs="Arial"/>
                <w:szCs w:val="21"/>
              </w:rPr>
              <w:t>¥</w:t>
            </w:r>
            <w:r>
              <w:rPr>
                <w:rFonts w:hint="eastAsia" w:ascii="宋体" w:hAnsi="宋体"/>
                <w:szCs w:val="21"/>
              </w:rPr>
              <w:t>30000元（含</w:t>
            </w:r>
            <w:r>
              <w:rPr>
                <w:rFonts w:ascii="Arial" w:hAnsi="Arial" w:cs="Arial"/>
                <w:szCs w:val="21"/>
              </w:rPr>
              <w:t>¥</w:t>
            </w:r>
            <w:r>
              <w:rPr>
                <w:rFonts w:hint="eastAsia" w:ascii="宋体" w:hAnsi="宋体"/>
                <w:szCs w:val="21"/>
              </w:rPr>
              <w:t>30000元）</w:t>
            </w:r>
          </w:p>
        </w:tc>
        <w:tc>
          <w:tcPr>
            <w:tcW w:w="2406" w:type="dxa"/>
            <w:shd w:val="clear" w:color="auto" w:fill="auto"/>
            <w:tcMar>
              <w:top w:w="170" w:type="dxa"/>
            </w:tcMar>
            <w:vAlign w:val="center"/>
          </w:tcPr>
          <w:p>
            <w:pPr>
              <w:pStyle w:val="2"/>
              <w:ind w:firstLine="420" w:firstLineChars="200"/>
              <w:rPr>
                <w:rFonts w:ascii="宋体" w:hAnsi="宋体"/>
                <w:szCs w:val="21"/>
              </w:rPr>
            </w:pPr>
            <w:r>
              <w:rPr>
                <w:rFonts w:hint="eastAsia" w:ascii="宋体" w:hAnsi="宋体"/>
                <w:szCs w:val="21"/>
              </w:rPr>
              <w:t>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738" w:type="dxa"/>
            <w:shd w:val="clear" w:color="auto" w:fill="auto"/>
            <w:tcMar>
              <w:top w:w="170" w:type="dxa"/>
            </w:tcMar>
            <w:vAlign w:val="center"/>
          </w:tcPr>
          <w:p>
            <w:pPr>
              <w:pStyle w:val="2"/>
              <w:ind w:firstLine="420" w:firstLineChars="200"/>
              <w:rPr>
                <w:rFonts w:ascii="宋体" w:hAnsi="宋体"/>
                <w:szCs w:val="21"/>
              </w:rPr>
            </w:pPr>
            <w:r>
              <w:rPr>
                <w:rFonts w:ascii="Arial" w:hAnsi="Arial" w:cs="Arial"/>
                <w:szCs w:val="21"/>
              </w:rPr>
              <w:t>¥</w:t>
            </w:r>
            <w:r>
              <w:rPr>
                <w:rFonts w:hint="eastAsia" w:ascii="宋体" w:hAnsi="宋体"/>
                <w:szCs w:val="21"/>
              </w:rPr>
              <w:t>30000元～</w:t>
            </w:r>
            <w:r>
              <w:rPr>
                <w:rFonts w:ascii="Arial" w:hAnsi="Arial" w:cs="Arial"/>
                <w:szCs w:val="21"/>
              </w:rPr>
              <w:t>¥</w:t>
            </w:r>
            <w:r>
              <w:rPr>
                <w:rFonts w:hint="eastAsia" w:ascii="宋体" w:hAnsi="宋体"/>
                <w:szCs w:val="21"/>
              </w:rPr>
              <w:t>100000元（含</w:t>
            </w:r>
            <w:r>
              <w:rPr>
                <w:rFonts w:ascii="Arial" w:hAnsi="Arial" w:cs="Arial"/>
                <w:szCs w:val="21"/>
              </w:rPr>
              <w:t>¥</w:t>
            </w:r>
            <w:r>
              <w:rPr>
                <w:rFonts w:hint="eastAsia" w:ascii="宋体" w:hAnsi="宋体"/>
                <w:szCs w:val="21"/>
              </w:rPr>
              <w:t>100000元）</w:t>
            </w:r>
          </w:p>
        </w:tc>
        <w:tc>
          <w:tcPr>
            <w:tcW w:w="2406" w:type="dxa"/>
            <w:shd w:val="clear" w:color="auto" w:fill="auto"/>
            <w:tcMar>
              <w:top w:w="170" w:type="dxa"/>
            </w:tcMar>
            <w:vAlign w:val="center"/>
          </w:tcPr>
          <w:p>
            <w:pPr>
              <w:pStyle w:val="2"/>
              <w:ind w:firstLine="420" w:firstLineChars="200"/>
              <w:rPr>
                <w:rFonts w:ascii="宋体" w:hAnsi="宋体"/>
                <w:szCs w:val="21"/>
              </w:rPr>
            </w:pPr>
            <w:r>
              <w:rPr>
                <w:rFonts w:hint="eastAsia" w:ascii="宋体" w:hAnsi="宋体"/>
                <w:szCs w:val="21"/>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738" w:type="dxa"/>
            <w:shd w:val="clear" w:color="auto" w:fill="auto"/>
            <w:tcMar>
              <w:top w:w="170" w:type="dxa"/>
            </w:tcMar>
            <w:vAlign w:val="center"/>
          </w:tcPr>
          <w:p>
            <w:pPr>
              <w:pStyle w:val="2"/>
              <w:ind w:firstLine="420" w:firstLineChars="200"/>
              <w:rPr>
                <w:rFonts w:ascii="宋体" w:hAnsi="宋体"/>
                <w:szCs w:val="21"/>
              </w:rPr>
            </w:pPr>
            <w:r>
              <w:rPr>
                <w:rFonts w:ascii="Arial" w:hAnsi="Arial" w:cs="Arial"/>
                <w:szCs w:val="21"/>
              </w:rPr>
              <w:t>¥</w:t>
            </w:r>
            <w:r>
              <w:rPr>
                <w:rFonts w:hint="eastAsia" w:ascii="宋体" w:hAnsi="宋体"/>
                <w:szCs w:val="21"/>
              </w:rPr>
              <w:t>100000元以上</w:t>
            </w:r>
          </w:p>
        </w:tc>
        <w:tc>
          <w:tcPr>
            <w:tcW w:w="2406" w:type="dxa"/>
            <w:shd w:val="clear" w:color="auto" w:fill="auto"/>
            <w:tcMar>
              <w:top w:w="170" w:type="dxa"/>
            </w:tcMar>
            <w:vAlign w:val="center"/>
          </w:tcPr>
          <w:p>
            <w:pPr>
              <w:pStyle w:val="2"/>
              <w:ind w:firstLine="420" w:firstLineChars="200"/>
              <w:rPr>
                <w:rFonts w:ascii="宋体" w:hAnsi="宋体"/>
                <w:szCs w:val="21"/>
              </w:rPr>
            </w:pPr>
            <w:r>
              <w:rPr>
                <w:rFonts w:hint="eastAsia" w:ascii="宋体" w:hAnsi="宋体"/>
                <w:szCs w:val="21"/>
              </w:rPr>
              <w:t>5个工作日</w:t>
            </w:r>
          </w:p>
        </w:tc>
      </w:tr>
    </w:tbl>
    <w:p>
      <w:pPr>
        <w:pStyle w:val="2"/>
        <w:spacing w:line="360" w:lineRule="auto"/>
        <w:ind w:firstLine="420" w:firstLineChars="200"/>
        <w:rPr>
          <w:rFonts w:ascii="宋体" w:hAnsi="宋体"/>
          <w:szCs w:val="21"/>
          <w:highlight w:val="yellow"/>
        </w:rPr>
      </w:pPr>
    </w:p>
    <w:p>
      <w:pPr>
        <w:pStyle w:val="2"/>
        <w:spacing w:line="360" w:lineRule="auto"/>
        <w:ind w:firstLine="420" w:firstLineChars="200"/>
        <w:rPr>
          <w:rFonts w:ascii="宋体" w:hAnsi="宋体"/>
          <w:szCs w:val="21"/>
          <w:highlight w:val="yellow"/>
        </w:rPr>
      </w:pPr>
    </w:p>
    <w:p>
      <w:pPr>
        <w:pStyle w:val="2"/>
        <w:spacing w:line="360" w:lineRule="auto"/>
        <w:ind w:firstLine="420" w:firstLineChars="200"/>
        <w:rPr>
          <w:rFonts w:ascii="宋体" w:hAnsi="宋体"/>
          <w:szCs w:val="21"/>
          <w:highlight w:val="yellow"/>
        </w:rPr>
      </w:pPr>
    </w:p>
    <w:p>
      <w:pPr>
        <w:pStyle w:val="2"/>
        <w:spacing w:line="360" w:lineRule="auto"/>
        <w:ind w:firstLine="420" w:firstLineChars="200"/>
        <w:rPr>
          <w:rFonts w:ascii="宋体" w:hAnsi="宋体"/>
          <w:b/>
          <w:bCs/>
          <w:szCs w:val="21"/>
          <w:highlight w:val="yellow"/>
        </w:rPr>
      </w:pPr>
    </w:p>
    <w:p>
      <w:pPr>
        <w:pStyle w:val="2"/>
        <w:spacing w:line="360" w:lineRule="auto"/>
        <w:ind w:firstLine="420" w:firstLineChars="200"/>
        <w:rPr>
          <w:rFonts w:ascii="宋体" w:hAnsi="宋体"/>
          <w:b/>
          <w:bCs/>
          <w:szCs w:val="21"/>
          <w:highlight w:val="yellow"/>
        </w:rPr>
      </w:pPr>
    </w:p>
    <w:p>
      <w:pPr>
        <w:pStyle w:val="2"/>
        <w:spacing w:line="360" w:lineRule="auto"/>
        <w:ind w:firstLine="420" w:firstLineChars="200"/>
        <w:rPr>
          <w:rFonts w:ascii="宋体" w:hAnsi="宋体"/>
          <w:b/>
          <w:bCs/>
          <w:szCs w:val="21"/>
          <w:highlight w:val="yellow"/>
        </w:rPr>
      </w:pPr>
    </w:p>
    <w:p>
      <w:pPr>
        <w:pStyle w:val="2"/>
        <w:spacing w:after="0" w:line="360" w:lineRule="auto"/>
        <w:ind w:firstLine="420" w:firstLineChars="200"/>
        <w:rPr>
          <w:rFonts w:ascii="宋体" w:hAnsi="宋体"/>
          <w:b/>
          <w:bCs/>
          <w:szCs w:val="21"/>
        </w:rPr>
      </w:pPr>
      <w:r>
        <w:rPr>
          <w:rFonts w:hint="eastAsia" w:ascii="宋体" w:hAnsi="宋体"/>
          <w:b/>
          <w:bCs/>
          <w:szCs w:val="21"/>
        </w:rPr>
        <w:t>四、甲方所属车辆保险实施程序</w:t>
      </w:r>
    </w:p>
    <w:p>
      <w:pPr>
        <w:pStyle w:val="2"/>
        <w:spacing w:after="0" w:line="360" w:lineRule="auto"/>
        <w:ind w:firstLine="420" w:firstLineChars="200"/>
        <w:rPr>
          <w:rFonts w:ascii="宋体" w:hAnsi="宋体"/>
          <w:szCs w:val="21"/>
        </w:rPr>
      </w:pPr>
      <w:r>
        <w:rPr>
          <w:rFonts w:hint="eastAsia" w:ascii="宋体" w:hAnsi="宋体"/>
          <w:szCs w:val="21"/>
        </w:rPr>
        <w:t>1. 甲方可根据资金情况和车辆状况，确定本单位投保车辆的数量和投保险种。</w:t>
      </w:r>
    </w:p>
    <w:p>
      <w:pPr>
        <w:pStyle w:val="2"/>
        <w:spacing w:after="0" w:line="360" w:lineRule="auto"/>
        <w:ind w:firstLine="420" w:firstLineChars="200"/>
        <w:rPr>
          <w:rFonts w:ascii="宋体" w:hAnsi="宋体"/>
          <w:szCs w:val="21"/>
        </w:rPr>
      </w:pPr>
      <w:r>
        <w:rPr>
          <w:rFonts w:hint="eastAsia" w:ascii="宋体" w:hAnsi="宋体"/>
          <w:szCs w:val="21"/>
        </w:rPr>
        <w:t>车辆损失险的保险金额由车辆的市场实际价值确定且足额承保。</w:t>
      </w:r>
    </w:p>
    <w:p>
      <w:pPr>
        <w:pStyle w:val="2"/>
        <w:spacing w:after="0" w:line="360" w:lineRule="auto"/>
        <w:ind w:firstLine="420" w:firstLineChars="200"/>
        <w:rPr>
          <w:rFonts w:ascii="宋体" w:hAnsi="宋体"/>
          <w:szCs w:val="21"/>
        </w:rPr>
      </w:pPr>
      <w:r>
        <w:rPr>
          <w:rFonts w:hint="eastAsia" w:ascii="宋体" w:hAnsi="宋体"/>
          <w:szCs w:val="21"/>
        </w:rPr>
        <w:t>2.甲方与乙方签订《车辆保险合同》。</w:t>
      </w:r>
    </w:p>
    <w:p>
      <w:pPr>
        <w:pStyle w:val="2"/>
        <w:spacing w:after="0" w:line="360" w:lineRule="auto"/>
        <w:ind w:firstLine="420" w:firstLineChars="200"/>
        <w:rPr>
          <w:rFonts w:ascii="宋体" w:hAnsi="宋体"/>
          <w:szCs w:val="21"/>
        </w:rPr>
      </w:pPr>
      <w:r>
        <w:rPr>
          <w:rFonts w:hint="eastAsia" w:ascii="宋体" w:hAnsi="宋体"/>
          <w:szCs w:val="21"/>
        </w:rPr>
        <w:t>3.保险期内若有车辆出险，由甲方按照《车辆保险合同》直接到乙方办理定损赔偿事宜。</w:t>
      </w:r>
    </w:p>
    <w:p>
      <w:pPr>
        <w:pStyle w:val="2"/>
        <w:spacing w:after="0" w:line="360" w:lineRule="auto"/>
        <w:ind w:firstLine="420" w:firstLineChars="200"/>
        <w:rPr>
          <w:rFonts w:ascii="宋体" w:hAnsi="宋体"/>
          <w:b/>
          <w:bCs/>
          <w:szCs w:val="21"/>
        </w:rPr>
      </w:pPr>
      <w:r>
        <w:rPr>
          <w:rFonts w:hint="eastAsia" w:ascii="宋体" w:hAnsi="宋体"/>
          <w:b/>
          <w:bCs/>
          <w:szCs w:val="21"/>
        </w:rPr>
        <w:t>五、保险费结算</w:t>
      </w:r>
    </w:p>
    <w:p>
      <w:pPr>
        <w:spacing w:line="360" w:lineRule="auto"/>
        <w:ind w:firstLine="420" w:firstLineChars="200"/>
        <w:rPr>
          <w:rFonts w:ascii="Times New Roman" w:hAnsi="Times New Roman" w:eastAsia="宋体" w:cs="Times New Roman"/>
          <w:sz w:val="18"/>
          <w:szCs w:val="21"/>
        </w:rPr>
      </w:pPr>
      <w:r>
        <w:rPr>
          <w:rFonts w:hint="eastAsia" w:ascii="Times New Roman" w:hAnsi="Times New Roman" w:eastAsia="宋体" w:cs="Times New Roman"/>
          <w:szCs w:val="21"/>
        </w:rPr>
        <w:t>1.合同价款按照单车“见费出单”的原则据实结算并转账支付</w:t>
      </w:r>
      <w:r>
        <w:rPr>
          <w:rFonts w:ascii="Times New Roman" w:hAnsi="Times New Roman" w:eastAsia="宋体" w:cs="Times New Roman"/>
          <w:szCs w:val="21"/>
        </w:rPr>
        <w:t>。</w:t>
      </w:r>
    </w:p>
    <w:p>
      <w:pPr>
        <w:pStyle w:val="2"/>
        <w:spacing w:after="0" w:line="360" w:lineRule="auto"/>
        <w:ind w:firstLine="420" w:firstLineChars="200"/>
        <w:rPr>
          <w:rFonts w:ascii="宋体" w:hAnsi="宋体" w:eastAsia="宋体"/>
          <w:szCs w:val="21"/>
        </w:rPr>
      </w:pPr>
      <w:r>
        <w:rPr>
          <w:rFonts w:hint="eastAsia" w:ascii="Times New Roman" w:hAnsi="Times New Roman" w:eastAsia="宋体" w:cs="Times New Roman"/>
          <w:szCs w:val="21"/>
        </w:rPr>
        <w:t>2.</w:t>
      </w:r>
      <w:r>
        <w:rPr>
          <w:rFonts w:ascii="Times New Roman" w:hAnsi="Times New Roman" w:eastAsia="宋体" w:cs="Times New Roman"/>
          <w:szCs w:val="21"/>
        </w:rPr>
        <w:t>乙方应向甲方开具增值税专用发票</w:t>
      </w:r>
      <w:r>
        <w:rPr>
          <w:rFonts w:hint="eastAsia" w:ascii="Times New Roman" w:hAnsi="Times New Roman" w:eastAsia="宋体" w:cs="Times New Roman"/>
          <w:szCs w:val="21"/>
        </w:rPr>
        <w:t>。</w:t>
      </w:r>
    </w:p>
    <w:p>
      <w:pPr>
        <w:pStyle w:val="2"/>
        <w:spacing w:after="0" w:line="360" w:lineRule="auto"/>
        <w:ind w:firstLine="420" w:firstLineChars="200"/>
        <w:rPr>
          <w:rFonts w:ascii="宋体" w:hAnsi="宋体"/>
          <w:b/>
          <w:bCs/>
          <w:szCs w:val="21"/>
        </w:rPr>
      </w:pPr>
      <w:r>
        <w:rPr>
          <w:rFonts w:hint="eastAsia" w:ascii="宋体" w:hAnsi="宋体"/>
          <w:b/>
          <w:bCs/>
          <w:szCs w:val="21"/>
        </w:rPr>
        <w:t>六、履行期限</w:t>
      </w:r>
    </w:p>
    <w:p>
      <w:pPr>
        <w:pStyle w:val="2"/>
        <w:spacing w:after="0" w:line="360" w:lineRule="auto"/>
        <w:ind w:firstLine="420" w:firstLineChars="200"/>
        <w:rPr>
          <w:rFonts w:ascii="宋体" w:hAnsi="宋体"/>
          <w:szCs w:val="21"/>
        </w:rPr>
      </w:pPr>
      <w:r>
        <w:rPr>
          <w:rFonts w:hint="eastAsia" w:ascii="宋体" w:hAnsi="宋体"/>
          <w:szCs w:val="21"/>
        </w:rPr>
        <w:t>甲方所属车辆集中保险定点期限为</w:t>
      </w:r>
      <w:r>
        <w:rPr>
          <w:rFonts w:hint="eastAsia" w:ascii="宋体" w:hAnsi="宋体"/>
          <w:szCs w:val="21"/>
          <w:u w:val="single"/>
        </w:rPr>
        <w:t xml:space="preserve">    </w:t>
      </w:r>
      <w:r>
        <w:rPr>
          <w:rFonts w:hint="eastAsia" w:ascii="宋体" w:hAnsi="宋体"/>
          <w:szCs w:val="21"/>
        </w:rPr>
        <w:t>年，即自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时止。</w:t>
      </w:r>
    </w:p>
    <w:p>
      <w:pPr>
        <w:pStyle w:val="2"/>
        <w:spacing w:after="0" w:line="360" w:lineRule="auto"/>
        <w:ind w:firstLine="420" w:firstLineChars="200"/>
        <w:rPr>
          <w:rFonts w:ascii="宋体" w:hAnsi="宋体"/>
          <w:szCs w:val="21"/>
        </w:rPr>
      </w:pPr>
      <w:r>
        <w:rPr>
          <w:rFonts w:hint="eastAsia" w:ascii="宋体" w:hAnsi="宋体"/>
          <w:b/>
          <w:bCs/>
          <w:szCs w:val="21"/>
        </w:rPr>
        <w:t>七、违约责任</w:t>
      </w:r>
      <w:r>
        <w:rPr>
          <w:rFonts w:hint="eastAsia" w:ascii="宋体" w:hAnsi="宋体"/>
          <w:szCs w:val="21"/>
        </w:rPr>
        <w:tab/>
      </w:r>
    </w:p>
    <w:p>
      <w:pPr>
        <w:pStyle w:val="2"/>
        <w:spacing w:after="0" w:line="360" w:lineRule="auto"/>
        <w:ind w:firstLine="420" w:firstLineChars="200"/>
        <w:rPr>
          <w:rFonts w:ascii="宋体" w:hAnsi="宋体"/>
          <w:szCs w:val="21"/>
        </w:rPr>
      </w:pPr>
      <w:r>
        <w:rPr>
          <w:rFonts w:hint="eastAsia" w:ascii="宋体" w:hAnsi="宋体"/>
          <w:szCs w:val="21"/>
        </w:rPr>
        <w:t>本合同经甲乙双方签字盖章生效后，按照《中华人民共和国保险法》、《车辆保险合同》如期履行，无违约行为，中途不得解除。</w:t>
      </w:r>
    </w:p>
    <w:p>
      <w:pPr>
        <w:pStyle w:val="2"/>
        <w:spacing w:after="0" w:line="360" w:lineRule="auto"/>
        <w:ind w:firstLine="420" w:firstLineChars="200"/>
        <w:rPr>
          <w:rFonts w:ascii="宋体" w:hAnsi="宋体"/>
          <w:b/>
          <w:bCs/>
          <w:szCs w:val="21"/>
        </w:rPr>
      </w:pPr>
      <w:r>
        <w:rPr>
          <w:rFonts w:hint="eastAsia" w:ascii="宋体" w:hAnsi="宋体"/>
          <w:b/>
          <w:bCs/>
          <w:szCs w:val="21"/>
        </w:rPr>
        <w:t>八、争议的解决方法</w:t>
      </w:r>
    </w:p>
    <w:p>
      <w:pPr>
        <w:pStyle w:val="2"/>
        <w:spacing w:after="0" w:line="360" w:lineRule="auto"/>
        <w:ind w:firstLine="420" w:firstLineChars="200"/>
        <w:rPr>
          <w:rFonts w:ascii="宋体" w:hAnsi="宋体"/>
          <w:szCs w:val="21"/>
        </w:rPr>
      </w:pPr>
      <w:r>
        <w:rPr>
          <w:rFonts w:hint="eastAsia" w:ascii="宋体" w:hAnsi="宋体"/>
          <w:szCs w:val="21"/>
        </w:rPr>
        <w:t>本协议未尽事宜由各方协商解决，当发生争议且协商不成时，当事人任何一方可向合同签订地有管辖权的人民法院提起诉讼，合同签订地为安徽省合肥市蜀山区响洪甸路新桥机场高速公路监控中心。</w:t>
      </w:r>
    </w:p>
    <w:p>
      <w:pPr>
        <w:pStyle w:val="2"/>
        <w:spacing w:after="0" w:line="360" w:lineRule="auto"/>
        <w:ind w:firstLine="420" w:firstLineChars="200"/>
        <w:rPr>
          <w:rFonts w:ascii="宋体" w:hAnsi="宋体"/>
          <w:b/>
          <w:bCs/>
          <w:szCs w:val="21"/>
        </w:rPr>
      </w:pPr>
      <w:r>
        <w:rPr>
          <w:rFonts w:hint="eastAsia" w:ascii="宋体" w:hAnsi="宋体"/>
          <w:b/>
          <w:bCs/>
          <w:szCs w:val="21"/>
        </w:rPr>
        <w:t>九、其它</w:t>
      </w:r>
    </w:p>
    <w:p>
      <w:pPr>
        <w:pStyle w:val="2"/>
        <w:spacing w:after="0" w:line="360" w:lineRule="auto"/>
        <w:ind w:firstLine="420" w:firstLineChars="200"/>
        <w:rPr>
          <w:rFonts w:ascii="宋体" w:hAnsi="宋体"/>
          <w:szCs w:val="21"/>
        </w:rPr>
      </w:pPr>
      <w:r>
        <w:rPr>
          <w:rFonts w:hint="eastAsia" w:ascii="宋体" w:hAnsi="宋体"/>
          <w:szCs w:val="21"/>
        </w:rPr>
        <w:t>1.本协议不经甲乙双方同意，任何一方不得扩大协议范围，不得将协议向双方以外的第三方转让。</w:t>
      </w:r>
    </w:p>
    <w:p>
      <w:pPr>
        <w:pStyle w:val="2"/>
        <w:spacing w:after="0" w:line="360" w:lineRule="auto"/>
        <w:ind w:firstLine="420" w:firstLineChars="200"/>
        <w:rPr>
          <w:rFonts w:ascii="宋体" w:hAnsi="宋体"/>
          <w:szCs w:val="21"/>
        </w:rPr>
      </w:pPr>
      <w:r>
        <w:rPr>
          <w:rFonts w:hint="eastAsia" w:ascii="宋体" w:hAnsi="宋体"/>
          <w:szCs w:val="21"/>
        </w:rPr>
        <w:t>2.如需修改或补充协议内容，应经甲、乙双方协商，共同签署书面补充协议。</w:t>
      </w:r>
    </w:p>
    <w:p>
      <w:pPr>
        <w:pStyle w:val="2"/>
        <w:spacing w:after="0" w:line="360" w:lineRule="auto"/>
        <w:ind w:firstLine="420" w:firstLineChars="200"/>
        <w:rPr>
          <w:rFonts w:ascii="宋体" w:hAnsi="宋体"/>
          <w:szCs w:val="21"/>
        </w:rPr>
      </w:pPr>
      <w:r>
        <w:rPr>
          <w:rFonts w:hint="eastAsia" w:ascii="宋体" w:hAnsi="宋体"/>
          <w:szCs w:val="21"/>
        </w:rPr>
        <w:t>3.本协议一式四份（甲方两份，乙方两份），由双方协定，共同遵守，经双方代表签字并加盖单位公章后生效。</w:t>
      </w:r>
    </w:p>
    <w:p>
      <w:pPr>
        <w:pStyle w:val="2"/>
        <w:spacing w:after="0" w:line="360" w:lineRule="auto"/>
        <w:ind w:firstLine="420" w:firstLineChars="200"/>
        <w:rPr>
          <w:rFonts w:ascii="宋体" w:hAnsi="宋体"/>
          <w:szCs w:val="21"/>
        </w:rPr>
      </w:pPr>
    </w:p>
    <w:p>
      <w:pPr>
        <w:pStyle w:val="2"/>
        <w:spacing w:after="0" w:line="360" w:lineRule="auto"/>
        <w:ind w:firstLine="420" w:firstLineChars="200"/>
        <w:rPr>
          <w:rFonts w:ascii="宋体" w:hAnsi="宋体"/>
          <w:szCs w:val="21"/>
        </w:rPr>
      </w:pPr>
    </w:p>
    <w:p>
      <w:pPr>
        <w:pStyle w:val="2"/>
        <w:spacing w:after="0" w:line="360" w:lineRule="auto"/>
        <w:ind w:firstLine="420" w:firstLineChars="200"/>
        <w:rPr>
          <w:rFonts w:ascii="宋体" w:hAnsi="宋体"/>
          <w:szCs w:val="21"/>
        </w:rPr>
      </w:pPr>
      <w:r>
        <w:rPr>
          <w:rFonts w:hint="eastAsia" w:ascii="宋体" w:hAnsi="宋体"/>
          <w:szCs w:val="21"/>
        </w:rPr>
        <w:t>甲方：安徽省交通控股集团有限公司养护管理中心</w:t>
      </w:r>
    </w:p>
    <w:p>
      <w:pPr>
        <w:pStyle w:val="2"/>
        <w:spacing w:after="0" w:line="360" w:lineRule="auto"/>
        <w:ind w:firstLine="420" w:firstLineChars="200"/>
        <w:rPr>
          <w:rFonts w:ascii="宋体" w:hAnsi="宋体"/>
          <w:szCs w:val="21"/>
        </w:rPr>
      </w:pPr>
      <w:r>
        <w:rPr>
          <w:rFonts w:hint="eastAsia" w:ascii="宋体" w:hAnsi="宋体"/>
          <w:szCs w:val="21"/>
        </w:rPr>
        <w:t>单位负责人：</w:t>
      </w:r>
    </w:p>
    <w:p>
      <w:pPr>
        <w:pStyle w:val="2"/>
        <w:spacing w:after="0" w:line="360" w:lineRule="auto"/>
        <w:ind w:firstLine="420" w:firstLineChars="200"/>
        <w:rPr>
          <w:rFonts w:ascii="宋体" w:hAnsi="宋体"/>
          <w:szCs w:val="21"/>
        </w:rPr>
      </w:pPr>
      <w:r>
        <w:rPr>
          <w:rFonts w:hint="eastAsia" w:ascii="宋体" w:hAnsi="宋体"/>
          <w:szCs w:val="21"/>
        </w:rPr>
        <w:t>授权委托人：</w:t>
      </w:r>
    </w:p>
    <w:p>
      <w:pPr>
        <w:pStyle w:val="2"/>
        <w:spacing w:after="0" w:line="360" w:lineRule="auto"/>
        <w:ind w:firstLine="420" w:firstLineChars="200"/>
        <w:rPr>
          <w:rFonts w:ascii="宋体" w:hAnsi="宋体"/>
          <w:szCs w:val="21"/>
        </w:rPr>
      </w:pPr>
      <w:r>
        <w:rPr>
          <w:rFonts w:hint="eastAsia" w:ascii="宋体" w:hAnsi="宋体"/>
          <w:szCs w:val="21"/>
        </w:rPr>
        <w:t xml:space="preserve">                                              年    月    日</w:t>
      </w:r>
    </w:p>
    <w:p>
      <w:pPr>
        <w:pStyle w:val="2"/>
        <w:spacing w:after="0" w:line="360" w:lineRule="auto"/>
        <w:ind w:firstLine="420" w:firstLineChars="200"/>
        <w:rPr>
          <w:rFonts w:ascii="宋体" w:hAnsi="宋体"/>
          <w:szCs w:val="21"/>
        </w:rPr>
      </w:pPr>
      <w:r>
        <w:rPr>
          <w:rFonts w:hint="eastAsia" w:ascii="宋体" w:hAnsi="宋体"/>
          <w:szCs w:val="21"/>
        </w:rPr>
        <w:t>乙方：</w:t>
      </w:r>
    </w:p>
    <w:p>
      <w:pPr>
        <w:pStyle w:val="2"/>
        <w:spacing w:after="0" w:line="360" w:lineRule="auto"/>
        <w:ind w:firstLine="420" w:firstLineChars="200"/>
        <w:rPr>
          <w:rFonts w:ascii="宋体" w:hAnsi="宋体"/>
          <w:szCs w:val="21"/>
        </w:rPr>
      </w:pPr>
      <w:r>
        <w:rPr>
          <w:rFonts w:hint="eastAsia" w:ascii="宋体" w:hAnsi="宋体"/>
          <w:szCs w:val="21"/>
        </w:rPr>
        <w:t>法定代表人：</w:t>
      </w:r>
    </w:p>
    <w:p>
      <w:pPr>
        <w:pStyle w:val="2"/>
        <w:spacing w:after="0" w:line="360" w:lineRule="auto"/>
        <w:ind w:firstLine="420" w:firstLineChars="200"/>
        <w:rPr>
          <w:rFonts w:ascii="宋体" w:hAnsi="宋体"/>
          <w:szCs w:val="21"/>
        </w:rPr>
      </w:pPr>
      <w:r>
        <w:rPr>
          <w:rFonts w:hint="eastAsia" w:ascii="宋体" w:hAnsi="宋体"/>
          <w:szCs w:val="21"/>
        </w:rPr>
        <w:t>授权委托人：</w:t>
      </w:r>
    </w:p>
    <w:p>
      <w:pPr>
        <w:pStyle w:val="2"/>
        <w:spacing w:after="0" w:line="360" w:lineRule="auto"/>
        <w:ind w:firstLine="420" w:firstLineChars="200"/>
        <w:rPr>
          <w:rFonts w:ascii="宋体" w:hAnsi="宋体"/>
          <w:szCs w:val="21"/>
        </w:rPr>
      </w:pPr>
      <w:r>
        <w:rPr>
          <w:rFonts w:hint="eastAsia" w:ascii="宋体" w:hAnsi="宋体"/>
          <w:szCs w:val="21"/>
        </w:rPr>
        <w:t xml:space="preserve">                                               年    月    日</w:t>
      </w:r>
    </w:p>
    <w:p>
      <w:pPr>
        <w:pStyle w:val="2"/>
        <w:rPr>
          <w:rFonts w:ascii="Times New Roman" w:hAnsi="Times New Roman" w:cs="Times New Roman"/>
          <w:color w:val="000000"/>
          <w:highlight w:val="yellow"/>
        </w:rPr>
      </w:pPr>
    </w:p>
    <w:p>
      <w:pPr>
        <w:rPr>
          <w:rFonts w:ascii="Times New Roman" w:hAnsi="Times New Roman" w:cs="Times New Roman"/>
          <w:color w:val="000000"/>
          <w:u w:val="single"/>
        </w:rPr>
      </w:pPr>
      <w:r>
        <w:rPr>
          <w:rFonts w:ascii="Times New Roman" w:hAnsi="Times New Roman" w:cs="Times New Roman"/>
          <w:color w:val="000000"/>
          <w:u w:val="single"/>
        </w:rPr>
        <w:br w:type="page"/>
      </w:r>
    </w:p>
    <w:p>
      <w:pPr>
        <w:rPr>
          <w:rFonts w:ascii="Times New Roman" w:hAnsi="Times New Roman" w:cs="Times New Roman"/>
          <w:szCs w:val="21"/>
        </w:rPr>
      </w:pP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bookmarkStart w:id="154" w:name="_Toc20465"/>
      <w:r>
        <w:rPr>
          <w:rFonts w:hint="eastAsia" w:ascii="Times New Roman" w:hAnsi="Times New Roman" w:eastAsia="宋体" w:cs="Times New Roman"/>
        </w:rPr>
        <w:t xml:space="preserve">第五章  </w:t>
      </w:r>
      <w:r>
        <w:rPr>
          <w:rFonts w:ascii="Times New Roman" w:hAnsi="Times New Roman" w:eastAsia="宋体" w:cs="Times New Roman"/>
        </w:rPr>
        <w:t>采购需求及清单</w:t>
      </w:r>
      <w:bookmarkEnd w:id="154"/>
    </w:p>
    <w:p>
      <w:pPr>
        <w:pStyle w:val="2"/>
        <w:spacing w:after="0" w:line="360" w:lineRule="auto"/>
        <w:rPr>
          <w:rFonts w:ascii="宋体" w:hAnsi="宋体"/>
          <w:b/>
          <w:bCs/>
          <w:sz w:val="28"/>
          <w:szCs w:val="28"/>
        </w:rPr>
      </w:pPr>
      <w:bookmarkStart w:id="155" w:name="_Toc10970_WPSOffice_Level1"/>
      <w:bookmarkStart w:id="156" w:name="_Toc28814_WPSOffice_Level2"/>
    </w:p>
    <w:p>
      <w:pPr>
        <w:pStyle w:val="2"/>
        <w:spacing w:after="0" w:line="360" w:lineRule="auto"/>
        <w:rPr>
          <w:rFonts w:ascii="宋体" w:hAnsi="宋体"/>
          <w:b/>
          <w:bCs/>
          <w:sz w:val="28"/>
          <w:szCs w:val="28"/>
        </w:rPr>
      </w:pPr>
    </w:p>
    <w:p>
      <w:pPr>
        <w:pStyle w:val="2"/>
        <w:spacing w:after="0" w:line="360" w:lineRule="auto"/>
        <w:rPr>
          <w:rFonts w:ascii="宋体" w:hAnsi="宋体"/>
          <w:b/>
          <w:bCs/>
          <w:sz w:val="28"/>
          <w:szCs w:val="28"/>
        </w:rPr>
      </w:pPr>
    </w:p>
    <w:p>
      <w:pPr>
        <w:pStyle w:val="2"/>
        <w:spacing w:after="0" w:line="360" w:lineRule="auto"/>
        <w:rPr>
          <w:rFonts w:ascii="宋体" w:hAnsi="宋体"/>
          <w:b/>
          <w:bCs/>
          <w:sz w:val="28"/>
          <w:szCs w:val="28"/>
        </w:rPr>
      </w:pPr>
    </w:p>
    <w:p>
      <w:pPr>
        <w:pStyle w:val="2"/>
        <w:spacing w:after="0" w:line="360" w:lineRule="auto"/>
        <w:rPr>
          <w:rFonts w:ascii="宋体" w:hAnsi="宋体"/>
          <w:b/>
          <w:bCs/>
          <w:sz w:val="28"/>
          <w:szCs w:val="28"/>
        </w:rPr>
      </w:pPr>
    </w:p>
    <w:p>
      <w:pPr>
        <w:pStyle w:val="2"/>
        <w:spacing w:after="0" w:line="360" w:lineRule="auto"/>
        <w:rPr>
          <w:rFonts w:ascii="宋体" w:hAnsi="宋体"/>
          <w:b/>
          <w:bCs/>
          <w:sz w:val="28"/>
          <w:szCs w:val="28"/>
        </w:rPr>
      </w:pPr>
    </w:p>
    <w:p>
      <w:pPr>
        <w:pStyle w:val="2"/>
        <w:spacing w:after="0" w:line="360" w:lineRule="auto"/>
        <w:rPr>
          <w:rFonts w:ascii="宋体" w:hAnsi="宋体"/>
          <w:b/>
          <w:bCs/>
          <w:sz w:val="28"/>
          <w:szCs w:val="28"/>
        </w:rPr>
      </w:pPr>
    </w:p>
    <w:p>
      <w:pPr>
        <w:pStyle w:val="2"/>
        <w:spacing w:after="0" w:line="360" w:lineRule="auto"/>
        <w:rPr>
          <w:rFonts w:ascii="宋体" w:hAnsi="宋体"/>
          <w:b/>
          <w:bCs/>
          <w:sz w:val="28"/>
          <w:szCs w:val="28"/>
        </w:rPr>
      </w:pPr>
    </w:p>
    <w:p>
      <w:pPr>
        <w:pStyle w:val="2"/>
        <w:spacing w:after="0" w:line="360" w:lineRule="auto"/>
        <w:rPr>
          <w:rFonts w:ascii="宋体" w:hAnsi="宋体"/>
          <w:b/>
          <w:bCs/>
          <w:sz w:val="28"/>
          <w:szCs w:val="28"/>
        </w:rPr>
      </w:pPr>
    </w:p>
    <w:p>
      <w:pPr>
        <w:pStyle w:val="2"/>
        <w:spacing w:after="0" w:line="360" w:lineRule="auto"/>
        <w:rPr>
          <w:rFonts w:ascii="宋体" w:hAnsi="宋体"/>
          <w:b/>
          <w:bCs/>
          <w:sz w:val="28"/>
          <w:szCs w:val="28"/>
        </w:rPr>
      </w:pPr>
    </w:p>
    <w:p>
      <w:pPr>
        <w:pStyle w:val="2"/>
        <w:spacing w:after="0" w:line="360" w:lineRule="auto"/>
        <w:rPr>
          <w:rFonts w:ascii="宋体" w:hAnsi="宋体"/>
          <w:b/>
          <w:bCs/>
          <w:sz w:val="28"/>
          <w:szCs w:val="28"/>
        </w:rPr>
      </w:pPr>
    </w:p>
    <w:p>
      <w:pPr>
        <w:pStyle w:val="2"/>
        <w:spacing w:after="0" w:line="360" w:lineRule="auto"/>
        <w:rPr>
          <w:rFonts w:ascii="宋体" w:hAnsi="宋体"/>
          <w:b/>
          <w:bCs/>
          <w:sz w:val="28"/>
          <w:szCs w:val="28"/>
        </w:rPr>
      </w:pPr>
      <w:r>
        <w:rPr>
          <w:rFonts w:hint="eastAsia" w:ascii="宋体" w:hAnsi="宋体"/>
          <w:b/>
          <w:bCs/>
          <w:sz w:val="28"/>
          <w:szCs w:val="28"/>
        </w:rPr>
        <w:t>1、2021-2023年度养管中心车辆保险服务采购需求</w:t>
      </w:r>
    </w:p>
    <w:p>
      <w:pPr>
        <w:pStyle w:val="2"/>
        <w:spacing w:after="0" w:line="360" w:lineRule="auto"/>
        <w:rPr>
          <w:rFonts w:ascii="宋体" w:hAnsi="宋体"/>
          <w:b/>
          <w:bCs/>
          <w:szCs w:val="21"/>
        </w:rPr>
      </w:pPr>
      <w:r>
        <w:rPr>
          <w:rFonts w:hint="eastAsia" w:ascii="宋体" w:hAnsi="宋体"/>
          <w:b/>
          <w:bCs/>
          <w:szCs w:val="21"/>
        </w:rPr>
        <w:t>一、项目概况：</w:t>
      </w:r>
    </w:p>
    <w:p>
      <w:pPr>
        <w:pStyle w:val="2"/>
        <w:spacing w:after="0" w:line="360" w:lineRule="auto"/>
        <w:ind w:firstLine="420" w:firstLineChars="200"/>
        <w:rPr>
          <w:rFonts w:ascii="宋体" w:hAnsi="宋体"/>
          <w:szCs w:val="21"/>
        </w:rPr>
      </w:pPr>
      <w:r>
        <w:rPr>
          <w:rFonts w:hint="eastAsia" w:ascii="宋体" w:hAnsi="宋体"/>
          <w:szCs w:val="21"/>
        </w:rPr>
        <w:t>2021-2023年度养管中心车辆保险（起始时间以实际车辆保险期限为准）商业险、交强险，并代缴车船使用税（费用据实结算），其中商业险投保项目为车辆损失险、第三者责任险（100万元）、车上人员险（驾驶员10万元，其他座位1万元/人），</w:t>
      </w:r>
      <w:r>
        <w:rPr>
          <w:rFonts w:hint="eastAsia" w:ascii="宋体" w:hAnsi="宋体"/>
          <w:b/>
          <w:bCs/>
          <w:szCs w:val="21"/>
        </w:rPr>
        <w:t>保险期为一年，分三年连续投保</w:t>
      </w:r>
      <w:r>
        <w:rPr>
          <w:rFonts w:hint="eastAsia" w:ascii="宋体" w:hAnsi="宋体"/>
          <w:szCs w:val="21"/>
        </w:rPr>
        <w:t>。</w:t>
      </w:r>
    </w:p>
    <w:p>
      <w:pPr>
        <w:pStyle w:val="2"/>
        <w:spacing w:after="0" w:line="360" w:lineRule="auto"/>
        <w:rPr>
          <w:rFonts w:ascii="宋体" w:hAnsi="宋体"/>
          <w:b/>
          <w:bCs/>
          <w:szCs w:val="21"/>
        </w:rPr>
      </w:pPr>
      <w:r>
        <w:rPr>
          <w:rFonts w:hint="eastAsia" w:ascii="宋体" w:hAnsi="宋体"/>
          <w:b/>
          <w:bCs/>
          <w:szCs w:val="21"/>
        </w:rPr>
        <w:t>二、采购要求</w:t>
      </w:r>
    </w:p>
    <w:p>
      <w:pPr>
        <w:pStyle w:val="2"/>
        <w:spacing w:after="0" w:line="360" w:lineRule="auto"/>
        <w:ind w:firstLine="420" w:firstLineChars="200"/>
        <w:rPr>
          <w:rFonts w:ascii="宋体" w:hAnsi="宋体"/>
          <w:b/>
          <w:bCs/>
          <w:szCs w:val="21"/>
        </w:rPr>
      </w:pPr>
      <w:r>
        <w:rPr>
          <w:rFonts w:hint="eastAsia" w:ascii="宋体" w:hAnsi="宋体"/>
          <w:b/>
          <w:bCs/>
          <w:szCs w:val="21"/>
        </w:rPr>
        <w:t>1.承保概况</w:t>
      </w:r>
    </w:p>
    <w:p>
      <w:pPr>
        <w:widowControl/>
        <w:spacing w:line="360" w:lineRule="auto"/>
        <w:ind w:firstLine="420" w:firstLineChars="200"/>
        <w:jc w:val="left"/>
        <w:rPr>
          <w:rFonts w:ascii="宋体" w:hAnsi="宋体"/>
          <w:kern w:val="0"/>
          <w:szCs w:val="21"/>
        </w:rPr>
      </w:pPr>
      <w:r>
        <w:rPr>
          <w:rFonts w:hint="eastAsia" w:ascii="宋体" w:hAnsi="宋体"/>
          <w:kern w:val="0"/>
          <w:szCs w:val="21"/>
        </w:rPr>
        <w:t>安徽省交通控股集团有限公司养护管理中心车辆保险期限将于年底到期，为保证车辆保险时间的衔接，拟通过集中采购方式选定新一轮车辆保险承办单位。</w:t>
      </w:r>
    </w:p>
    <w:p>
      <w:pPr>
        <w:widowControl/>
        <w:spacing w:line="360" w:lineRule="auto"/>
        <w:ind w:firstLine="420" w:firstLineChars="200"/>
        <w:jc w:val="left"/>
        <w:rPr>
          <w:rFonts w:ascii="宋体" w:hAnsi="宋体"/>
          <w:kern w:val="0"/>
          <w:szCs w:val="21"/>
        </w:rPr>
      </w:pPr>
      <w:r>
        <w:rPr>
          <w:rFonts w:hint="eastAsia" w:ascii="宋体" w:hAnsi="宋体"/>
          <w:kern w:val="0"/>
          <w:szCs w:val="21"/>
        </w:rPr>
        <w:t>本次询比采购车辆保险服务的车辆总数暂定43辆，车型包括轿车、小型普通货车、轻型货车、越野车等，具体实际承保车辆以采购人通知为准。详细信息见第六章响应文件格式报价清单。</w:t>
      </w:r>
    </w:p>
    <w:p>
      <w:pPr>
        <w:widowControl/>
        <w:spacing w:line="360" w:lineRule="auto"/>
        <w:ind w:firstLine="420" w:firstLineChars="200"/>
        <w:jc w:val="left"/>
        <w:rPr>
          <w:rFonts w:ascii="宋体" w:hAnsi="宋体"/>
          <w:b/>
          <w:bCs/>
          <w:kern w:val="0"/>
          <w:szCs w:val="21"/>
        </w:rPr>
      </w:pPr>
      <w:r>
        <w:rPr>
          <w:rFonts w:hint="eastAsia" w:ascii="宋体" w:hAnsi="宋体"/>
          <w:b/>
          <w:bCs/>
          <w:kern w:val="0"/>
          <w:szCs w:val="21"/>
        </w:rPr>
        <w:t>2.险种规定</w:t>
      </w:r>
    </w:p>
    <w:p>
      <w:pPr>
        <w:widowControl/>
        <w:spacing w:line="360" w:lineRule="auto"/>
        <w:ind w:firstLine="420" w:firstLineChars="200"/>
        <w:jc w:val="left"/>
        <w:rPr>
          <w:rFonts w:ascii="宋体" w:hAnsi="宋体"/>
          <w:kern w:val="0"/>
          <w:szCs w:val="21"/>
        </w:rPr>
      </w:pPr>
      <w:r>
        <w:rPr>
          <w:rFonts w:hint="eastAsia" w:ascii="宋体" w:hAnsi="宋体"/>
          <w:kern w:val="0"/>
          <w:szCs w:val="21"/>
        </w:rPr>
        <w:t>本次询比采购车辆保险服务的险种范围为交强险、</w:t>
      </w:r>
      <w:r>
        <w:rPr>
          <w:rFonts w:hint="eastAsia" w:ascii="宋体" w:hAnsi="宋体"/>
          <w:szCs w:val="21"/>
        </w:rPr>
        <w:t>车辆损失险</w:t>
      </w:r>
      <w:r>
        <w:rPr>
          <w:rFonts w:hint="eastAsia" w:ascii="宋体" w:hAnsi="宋体"/>
          <w:kern w:val="0"/>
          <w:szCs w:val="21"/>
        </w:rPr>
        <w:t>、第三者责任险</w:t>
      </w:r>
      <w:r>
        <w:rPr>
          <w:rFonts w:hint="eastAsia" w:ascii="宋体" w:hAnsi="宋体"/>
          <w:szCs w:val="21"/>
        </w:rPr>
        <w:t>（100万元）</w:t>
      </w:r>
      <w:r>
        <w:rPr>
          <w:rFonts w:hint="eastAsia" w:ascii="宋体" w:hAnsi="宋体"/>
          <w:kern w:val="0"/>
          <w:szCs w:val="21"/>
        </w:rPr>
        <w:t>、车上人员险</w:t>
      </w:r>
      <w:r>
        <w:rPr>
          <w:rFonts w:hint="eastAsia" w:ascii="宋体" w:hAnsi="宋体"/>
          <w:szCs w:val="21"/>
        </w:rPr>
        <w:t>（驾驶员10万元，其他座位1万元/人）</w:t>
      </w:r>
      <w:r>
        <w:rPr>
          <w:rFonts w:hint="eastAsia" w:ascii="宋体" w:hAnsi="宋体"/>
          <w:kern w:val="0"/>
          <w:szCs w:val="21"/>
        </w:rPr>
        <w:t>，</w:t>
      </w:r>
      <w:r>
        <w:rPr>
          <w:rFonts w:hint="eastAsia" w:ascii="宋体" w:hAnsi="宋体"/>
          <w:szCs w:val="21"/>
        </w:rPr>
        <w:t>并代交车船使用税（费用据实结算）</w:t>
      </w:r>
      <w:r>
        <w:rPr>
          <w:rFonts w:hint="eastAsia" w:ascii="宋体" w:hAnsi="宋体"/>
          <w:kern w:val="0"/>
          <w:szCs w:val="21"/>
        </w:rPr>
        <w:t xml:space="preserve">。被保险单位具体投保时所选择的险种原则上不得超过以上规定的险种（赠送的险种除外）。 </w:t>
      </w:r>
    </w:p>
    <w:p>
      <w:pPr>
        <w:spacing w:line="360" w:lineRule="auto"/>
        <w:rPr>
          <w:rFonts w:ascii="宋体" w:hAnsi="宋体"/>
          <w:b/>
          <w:bCs/>
          <w:szCs w:val="21"/>
        </w:rPr>
      </w:pPr>
      <w:r>
        <w:rPr>
          <w:rFonts w:hint="eastAsia" w:ascii="宋体" w:hAnsi="宋体"/>
          <w:b/>
          <w:bCs/>
          <w:szCs w:val="21"/>
        </w:rPr>
        <w:t>三、理赔范围：</w:t>
      </w:r>
    </w:p>
    <w:p>
      <w:pPr>
        <w:spacing w:line="360" w:lineRule="auto"/>
        <w:ind w:firstLine="420" w:firstLineChars="200"/>
      </w:pPr>
      <w:r>
        <w:rPr>
          <w:rFonts w:hint="eastAsia" w:ascii="宋体" w:hAnsi="宋体"/>
          <w:szCs w:val="21"/>
        </w:rPr>
        <w:t>理赔范围参照《</w:t>
      </w:r>
      <w:r>
        <w:rPr>
          <w:rFonts w:ascii="宋体" w:hAnsi="宋体"/>
          <w:szCs w:val="21"/>
        </w:rPr>
        <w:t>中国保险行业协会机动车</w:t>
      </w:r>
      <w:r>
        <w:rPr>
          <w:rFonts w:hint="eastAsia" w:ascii="宋体" w:hAnsi="宋体"/>
          <w:szCs w:val="21"/>
        </w:rPr>
        <w:t>综合</w:t>
      </w:r>
      <w:r>
        <w:rPr>
          <w:rFonts w:ascii="宋体" w:hAnsi="宋体"/>
          <w:szCs w:val="21"/>
        </w:rPr>
        <w:t>商业保险示范条款</w:t>
      </w:r>
      <w:r>
        <w:rPr>
          <w:rFonts w:hint="eastAsia" w:ascii="宋体" w:hAnsi="宋体"/>
          <w:szCs w:val="21"/>
        </w:rPr>
        <w:t>》（2020版）执行。</w:t>
      </w:r>
    </w:p>
    <w:p>
      <w:pPr>
        <w:widowControl/>
        <w:spacing w:line="360" w:lineRule="auto"/>
        <w:jc w:val="left"/>
        <w:rPr>
          <w:rFonts w:ascii="宋体" w:hAnsi="宋体"/>
          <w:b/>
          <w:bCs/>
          <w:szCs w:val="21"/>
        </w:rPr>
      </w:pPr>
      <w:r>
        <w:rPr>
          <w:rFonts w:hint="eastAsia" w:ascii="宋体" w:hAnsi="宋体"/>
          <w:b/>
          <w:bCs/>
          <w:szCs w:val="21"/>
        </w:rPr>
        <w:t>四、其他要求</w:t>
      </w:r>
    </w:p>
    <w:p>
      <w:pPr>
        <w:widowControl/>
        <w:spacing w:line="360" w:lineRule="auto"/>
        <w:ind w:firstLine="420" w:firstLineChars="200"/>
        <w:jc w:val="left"/>
        <w:rPr>
          <w:rFonts w:ascii="宋体" w:hAnsi="宋体"/>
          <w:b/>
          <w:bCs/>
          <w:szCs w:val="21"/>
        </w:rPr>
      </w:pPr>
      <w:r>
        <w:rPr>
          <w:rFonts w:hint="eastAsia" w:ascii="宋体" w:hAnsi="宋体"/>
          <w:b/>
          <w:bCs/>
          <w:szCs w:val="21"/>
        </w:rPr>
        <w:t>1.如若车辆进入报废期，在车辆报废后剩余保险费用（除交强险、车船使用税外）应予退还（国家相关法律法规另有规定除外）。</w:t>
      </w:r>
    </w:p>
    <w:p>
      <w:pPr>
        <w:widowControl/>
        <w:spacing w:line="360" w:lineRule="auto"/>
        <w:ind w:firstLine="420" w:firstLineChars="200"/>
        <w:jc w:val="left"/>
        <w:rPr>
          <w:rFonts w:ascii="宋体" w:hAnsi="宋体"/>
          <w:szCs w:val="21"/>
        </w:rPr>
      </w:pPr>
      <w:r>
        <w:rPr>
          <w:rFonts w:hint="eastAsia" w:ascii="宋体" w:hAnsi="宋体"/>
          <w:szCs w:val="21"/>
        </w:rPr>
        <w:t>2.成交人须与安徽皖运保险代理有限公司签订保险委托代理协议,共同为本保险采购项目做好服务工作。</w:t>
      </w:r>
    </w:p>
    <w:p>
      <w:pPr>
        <w:widowControl/>
        <w:spacing w:line="360" w:lineRule="auto"/>
        <w:ind w:firstLine="420" w:firstLineChars="200"/>
        <w:jc w:val="left"/>
        <w:rPr>
          <w:rFonts w:ascii="宋体" w:hAnsi="宋体"/>
          <w:szCs w:val="21"/>
        </w:rPr>
      </w:pPr>
      <w:r>
        <w:rPr>
          <w:rFonts w:hint="eastAsia" w:ascii="宋体" w:hAnsi="宋体"/>
          <w:szCs w:val="21"/>
        </w:rPr>
        <w:t>3.保险总额：保险费总额以实际发生额为准；详细报价要求：以第六章响应文件格式清单说明为准。</w:t>
      </w:r>
    </w:p>
    <w:p>
      <w:pPr>
        <w:widowControl/>
        <w:spacing w:line="360" w:lineRule="auto"/>
        <w:ind w:firstLine="420" w:firstLineChars="200"/>
        <w:jc w:val="left"/>
        <w:rPr>
          <w:rFonts w:ascii="宋体" w:hAnsi="宋体"/>
          <w:szCs w:val="21"/>
        </w:rPr>
      </w:pPr>
      <w:r>
        <w:rPr>
          <w:rFonts w:hint="eastAsia" w:ascii="宋体" w:hAnsi="宋体"/>
          <w:szCs w:val="21"/>
        </w:rPr>
        <w:t>4.采购人不垫付理赔费用。</w:t>
      </w:r>
    </w:p>
    <w:p>
      <w:pPr>
        <w:widowControl/>
        <w:spacing w:line="360" w:lineRule="auto"/>
        <w:ind w:firstLine="420" w:firstLineChars="200"/>
        <w:jc w:val="left"/>
      </w:pPr>
      <w:r>
        <w:rPr>
          <w:rFonts w:hint="eastAsia" w:ascii="宋体" w:hAnsi="宋体"/>
          <w:szCs w:val="21"/>
        </w:rPr>
        <w:t>5.由于采购人的被保险车辆的保险期间不一，采购人将根据各车辆的保险到期情况据实安排保险任务，保险费同步据实结算。</w:t>
      </w:r>
    </w:p>
    <w:p>
      <w:pPr>
        <w:widowControl/>
        <w:spacing w:line="360" w:lineRule="auto"/>
        <w:ind w:firstLine="420" w:firstLineChars="200"/>
        <w:jc w:val="left"/>
        <w:rPr>
          <w:rFonts w:ascii="宋体" w:hAnsi="宋体"/>
          <w:szCs w:val="21"/>
        </w:rPr>
      </w:pPr>
      <w:r>
        <w:rPr>
          <w:rFonts w:hint="eastAsia" w:ascii="宋体" w:hAnsi="宋体"/>
          <w:szCs w:val="21"/>
        </w:rPr>
        <w:t>6.竞标人承诺安排专人负责保险理赔服务。</w:t>
      </w:r>
    </w:p>
    <w:p>
      <w:pPr>
        <w:widowControl/>
        <w:spacing w:line="360" w:lineRule="auto"/>
        <w:ind w:firstLine="420" w:firstLineChars="200"/>
        <w:jc w:val="left"/>
        <w:rPr>
          <w:rFonts w:ascii="宋体" w:hAnsi="宋体"/>
          <w:szCs w:val="21"/>
        </w:rPr>
      </w:pPr>
      <w:r>
        <w:rPr>
          <w:rFonts w:hint="eastAsia" w:ascii="宋体" w:hAnsi="宋体"/>
          <w:szCs w:val="21"/>
        </w:rPr>
        <w:t>7.车辆发生较大事故或人伤事故，除勘察员外，派专人到达现场协助指导理赔。</w:t>
      </w:r>
    </w:p>
    <w:p>
      <w:pPr>
        <w:widowControl/>
        <w:spacing w:line="360" w:lineRule="auto"/>
        <w:ind w:firstLine="420" w:firstLineChars="200"/>
        <w:jc w:val="left"/>
        <w:rPr>
          <w:rFonts w:ascii="宋体" w:hAnsi="宋体"/>
          <w:szCs w:val="21"/>
        </w:rPr>
      </w:pPr>
      <w:r>
        <w:rPr>
          <w:rFonts w:hint="eastAsia" w:cs="宋体"/>
          <w:bCs/>
          <w:szCs w:val="21"/>
        </w:rPr>
        <w:t>8</w:t>
      </w:r>
      <w:r>
        <w:rPr>
          <w:rFonts w:hint="eastAsia" w:ascii="宋体" w:hAnsi="宋体"/>
          <w:szCs w:val="21"/>
        </w:rPr>
        <w:t>.竞标人不可自行设置免赔条款，所有参保车辆赔付比例100%即足额赔付，全损赔付金额不得低于车辆保险金额。</w:t>
      </w:r>
    </w:p>
    <w:p>
      <w:pPr>
        <w:widowControl/>
        <w:spacing w:line="360" w:lineRule="auto"/>
        <w:ind w:firstLine="420" w:firstLineChars="200"/>
        <w:jc w:val="left"/>
        <w:rPr>
          <w:rFonts w:ascii="宋体" w:hAnsi="宋体"/>
          <w:szCs w:val="21"/>
        </w:rPr>
      </w:pPr>
      <w:r>
        <w:rPr>
          <w:rFonts w:hint="eastAsia" w:ascii="宋体" w:hAnsi="宋体"/>
          <w:szCs w:val="21"/>
        </w:rPr>
        <w:t>9.竞标人应提供车辆出险时的定损方法，理赔的程序、方法、期限以及违反承诺的处罚措施。</w:t>
      </w:r>
    </w:p>
    <w:p>
      <w:pPr>
        <w:widowControl/>
        <w:spacing w:line="360" w:lineRule="auto"/>
        <w:ind w:firstLine="420" w:firstLineChars="200"/>
        <w:jc w:val="left"/>
        <w:rPr>
          <w:rFonts w:ascii="宋体" w:hAnsi="宋体"/>
          <w:szCs w:val="21"/>
        </w:rPr>
      </w:pPr>
      <w:r>
        <w:rPr>
          <w:rFonts w:hint="eastAsia" w:ascii="宋体" w:hAnsi="宋体"/>
          <w:szCs w:val="21"/>
        </w:rPr>
        <w:t>10.竞标人保证提供的服务种类、服务标准、服务档次、服务质量应当具有可行性、可靠性和可操作性，必须保证由专部、专人相对稳定的从事投保工作。</w:t>
      </w:r>
    </w:p>
    <w:p>
      <w:pPr>
        <w:widowControl/>
        <w:spacing w:line="360" w:lineRule="auto"/>
        <w:ind w:firstLine="420" w:firstLineChars="200"/>
        <w:jc w:val="left"/>
        <w:rPr>
          <w:rFonts w:ascii="宋体" w:hAnsi="宋体"/>
          <w:szCs w:val="21"/>
        </w:rPr>
      </w:pPr>
      <w:r>
        <w:rPr>
          <w:rFonts w:hint="eastAsia" w:ascii="宋体" w:hAnsi="宋体"/>
          <w:szCs w:val="21"/>
        </w:rPr>
        <w:t xml:space="preserve">11.保险机构及保险中介机构从事招投标业务，应遵守《保险法》等国家法律法规，以及中国保监会《关于进一步加强对大型商业保险及各类招投标业务管理的通知》（保监发〔2007〕43 号）和《安徽省大型商业保险及招投标业务规范》 等监管规定。对于违反相关法律法规及监管规定的保险机构和保险中介机构，中国保险监督管理委员会安徽监管局将依法进行行政处罚或采取其他相应监管措施；对于涉嫌犯罪的，依法移送司法机关。 </w:t>
      </w:r>
    </w:p>
    <w:p>
      <w:pPr>
        <w:widowControl/>
        <w:spacing w:line="360" w:lineRule="auto"/>
        <w:ind w:firstLine="420" w:firstLineChars="200"/>
        <w:jc w:val="left"/>
        <w:rPr>
          <w:rFonts w:ascii="Times New Roman" w:hAnsi="Times New Roman" w:cs="Times New Roman"/>
          <w:b/>
          <w:bCs/>
          <w:sz w:val="28"/>
          <w:szCs w:val="32"/>
        </w:rPr>
      </w:pPr>
      <w:r>
        <w:rPr>
          <w:rFonts w:hint="eastAsia" w:ascii="宋体" w:hAnsi="宋体"/>
          <w:szCs w:val="21"/>
        </w:rPr>
        <w:t>12.成交人须按照本地行业主管部门的要求办理相关手续并履约。</w:t>
      </w:r>
    </w:p>
    <w:p>
      <w:pPr>
        <w:spacing w:line="360" w:lineRule="auto"/>
        <w:rPr>
          <w:rFonts w:ascii="宋体" w:hAnsi="宋体"/>
          <w:b/>
          <w:bCs/>
          <w:szCs w:val="21"/>
        </w:rPr>
      </w:pPr>
      <w:r>
        <w:rPr>
          <w:rFonts w:hint="eastAsia" w:ascii="宋体" w:hAnsi="宋体"/>
          <w:b/>
          <w:bCs/>
          <w:szCs w:val="21"/>
        </w:rPr>
        <w:t>五、报价要求：</w:t>
      </w:r>
    </w:p>
    <w:p>
      <w:pPr>
        <w:spacing w:line="360" w:lineRule="auto"/>
        <w:ind w:firstLine="420" w:firstLineChars="200"/>
        <w:rPr>
          <w:rFonts w:ascii="宋体" w:hAnsi="宋体"/>
          <w:b/>
          <w:bCs/>
          <w:szCs w:val="21"/>
        </w:rPr>
      </w:pPr>
      <w:r>
        <w:rPr>
          <w:rFonts w:hint="eastAsia" w:ascii="宋体" w:hAnsi="宋体"/>
          <w:b/>
          <w:bCs/>
          <w:szCs w:val="21"/>
        </w:rPr>
        <w:t>供应商须参照第六章 响应文件格式 报价清单按3年服务期报价，原则按清单报价的单价执行合同，若有变动情况按照第六章响应文件格式第三节“清单说明”第四条规定据实调整</w:t>
      </w:r>
      <w:r>
        <w:rPr>
          <w:rFonts w:ascii="宋体" w:hAnsi="宋体"/>
          <w:b/>
          <w:bCs/>
          <w:szCs w:val="21"/>
        </w:rPr>
        <w:t>。</w:t>
      </w:r>
    </w:p>
    <w:p>
      <w:pPr>
        <w:pStyle w:val="2"/>
      </w:pPr>
    </w:p>
    <w:bookmarkEnd w:id="155"/>
    <w:p>
      <w:pPr>
        <w:keepNext/>
        <w:keepLines/>
        <w:snapToGrid w:val="0"/>
        <w:spacing w:before="120"/>
        <w:rPr>
          <w:rFonts w:ascii="Times New Roman" w:hAnsi="Times New Roman" w:cs="Times New Roman"/>
          <w:b/>
          <w:bCs/>
          <w:sz w:val="28"/>
          <w:szCs w:val="32"/>
        </w:rPr>
      </w:pPr>
      <w:bookmarkStart w:id="157" w:name="_Toc8777_WPSOffice_Level1"/>
      <w:r>
        <w:rPr>
          <w:rFonts w:hint="eastAsia" w:ascii="Times New Roman" w:hAnsi="Times New Roman" w:cs="Times New Roman"/>
          <w:b/>
          <w:bCs/>
          <w:sz w:val="28"/>
          <w:szCs w:val="32"/>
        </w:rPr>
        <w:t>2、报价清单</w:t>
      </w:r>
      <w:bookmarkEnd w:id="156"/>
      <w:bookmarkEnd w:id="157"/>
      <w:r>
        <w:rPr>
          <w:rFonts w:hint="eastAsia" w:ascii="Times New Roman" w:hAnsi="Times New Roman" w:cs="Times New Roman"/>
          <w:b/>
          <w:bCs/>
          <w:sz w:val="28"/>
          <w:szCs w:val="32"/>
        </w:rPr>
        <w:t>：见第六章响应文件格式</w:t>
      </w:r>
    </w:p>
    <w:p>
      <w:pPr>
        <w:rPr>
          <w:rFonts w:ascii="Times New Roman" w:hAnsi="Times New Roman" w:cs="Times New Roman"/>
        </w:rPr>
      </w:pPr>
    </w:p>
    <w:p>
      <w:pPr>
        <w:rPr>
          <w:rFonts w:ascii="Times New Roman" w:hAnsi="Times New Roman" w:eastAsia="宋体" w:cs="Times New Roman"/>
        </w:rPr>
      </w:pPr>
      <w:r>
        <w:rPr>
          <w:rFonts w:ascii="Times New Roman" w:hAnsi="Times New Roman" w:eastAsia="宋体" w:cs="Times New Roman"/>
        </w:rPr>
        <w:br w:type="page"/>
      </w: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p>
    <w:p>
      <w:pPr>
        <w:pStyle w:val="3"/>
        <w:numPr>
          <w:ilvl w:val="255"/>
          <w:numId w:val="0"/>
        </w:numPr>
        <w:spacing w:before="312" w:after="312"/>
        <w:rPr>
          <w:rFonts w:ascii="Times New Roman" w:hAnsi="Times New Roman" w:eastAsia="宋体" w:cs="Times New Roman"/>
        </w:rPr>
      </w:pPr>
      <w:bookmarkStart w:id="158" w:name="_Toc5402"/>
      <w:r>
        <w:rPr>
          <w:rFonts w:hint="eastAsia" w:ascii="Times New Roman" w:hAnsi="Times New Roman" w:eastAsia="宋体" w:cs="Times New Roman"/>
        </w:rPr>
        <w:t xml:space="preserve">第六章  </w:t>
      </w:r>
      <w:r>
        <w:rPr>
          <w:rFonts w:ascii="Times New Roman" w:hAnsi="Times New Roman" w:eastAsia="宋体" w:cs="Times New Roman"/>
        </w:rPr>
        <w:t>响应文件格式</w:t>
      </w:r>
      <w:bookmarkEnd w:id="158"/>
    </w:p>
    <w:p>
      <w:pPr>
        <w:rPr>
          <w:rFonts w:ascii="Times New Roman" w:hAnsi="Times New Roman" w:eastAsia="宋体" w:cs="Times New Roman"/>
        </w:rPr>
      </w:pPr>
      <w:r>
        <w:rPr>
          <w:rFonts w:ascii="Times New Roman" w:hAnsi="Times New Roman" w:eastAsia="宋体" w:cs="Times New Roman"/>
        </w:rPr>
        <w:br w:type="page"/>
      </w:r>
    </w:p>
    <w:p>
      <w:pPr>
        <w:spacing w:line="440" w:lineRule="exact"/>
        <w:rPr>
          <w:rFonts w:ascii="Times New Roman" w:hAnsi="Times New Roman" w:eastAsia="黑体" w:cs="Times New Roman"/>
          <w:sz w:val="20"/>
          <w:szCs w:val="20"/>
        </w:rPr>
      </w:pPr>
    </w:p>
    <w:p>
      <w:pPr>
        <w:pStyle w:val="2"/>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159" w:name="_Toc17394_WPSOffice_Level1"/>
      <w:bookmarkStart w:id="160" w:name="_Toc1914_WPSOffice_Level1"/>
      <w:bookmarkStart w:id="161" w:name="_Toc27552_WPSOffice_Level1"/>
      <w:bookmarkStart w:id="162" w:name="_Toc13481"/>
      <w:r>
        <w:rPr>
          <w:rFonts w:ascii="Times New Roman" w:hAnsi="Times New Roman" w:eastAsia="黑体" w:cs="Times New Roman"/>
          <w:sz w:val="50"/>
          <w:szCs w:val="50"/>
        </w:rPr>
        <w:t>响  应  文  件</w:t>
      </w:r>
      <w:bookmarkEnd w:id="159"/>
      <w:bookmarkEnd w:id="160"/>
      <w:bookmarkEnd w:id="161"/>
      <w:bookmarkEnd w:id="162"/>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63" w:name="_Toc25232_WPSOffice_Level2"/>
      <w:bookmarkStart w:id="164"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63"/>
      <w:bookmarkEnd w:id="164"/>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65" w:name="_Toc20076_WPSOffice_Level2"/>
      <w:bookmarkStart w:id="166"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65"/>
      <w:bookmarkEnd w:id="166"/>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67" w:name="_Toc21974_WPSOffice_Level2"/>
      <w:bookmarkStart w:id="168" w:name="_Toc22351_WPSOffice_Level2"/>
      <w:r>
        <w:rPr>
          <w:rFonts w:ascii="Times New Roman" w:hAnsi="Times New Roman" w:eastAsia="黑体" w:cs="Times New Roman"/>
          <w:sz w:val="28"/>
          <w:szCs w:val="28"/>
        </w:rPr>
        <w:t>目     录</w:t>
      </w:r>
      <w:bookmarkEnd w:id="167"/>
      <w:bookmarkEnd w:id="168"/>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169" w:name="_Toc6353_WPSOffice_Level1"/>
      <w:bookmarkStart w:id="170" w:name="_Toc23368_WPSOffice_Level1"/>
      <w:bookmarkStart w:id="171" w:name="_Toc11424_WPSOffice_Level1"/>
      <w:bookmarkStart w:id="172" w:name="_Toc30529_WPSOffice_Level1"/>
      <w:bookmarkStart w:id="173" w:name="_Toc5932"/>
      <w:bookmarkStart w:id="174" w:name="_Toc12670_WPSOffice_Level1"/>
      <w:r>
        <w:rPr>
          <w:rFonts w:ascii="Times New Roman" w:hAnsi="Times New Roman" w:eastAsia="黑体" w:cs="Times New Roman"/>
          <w:sz w:val="24"/>
        </w:rPr>
        <w:t>一、报价函</w:t>
      </w:r>
      <w:bookmarkEnd w:id="169"/>
      <w:bookmarkEnd w:id="170"/>
      <w:bookmarkEnd w:id="171"/>
      <w:bookmarkEnd w:id="172"/>
      <w:bookmarkEnd w:id="173"/>
    </w:p>
    <w:p>
      <w:pPr>
        <w:spacing w:line="440" w:lineRule="exact"/>
        <w:ind w:left="1619" w:leftChars="771"/>
        <w:rPr>
          <w:rFonts w:ascii="Times New Roman" w:hAnsi="Times New Roman" w:eastAsia="黑体" w:cs="Times New Roman"/>
          <w:sz w:val="24"/>
        </w:rPr>
      </w:pPr>
      <w:bookmarkStart w:id="175" w:name="_Toc32729_WPSOffice_Level1"/>
      <w:bookmarkStart w:id="176" w:name="_Toc5317_WPSOffice_Level1"/>
      <w:bookmarkStart w:id="177" w:name="_Toc4853"/>
      <w:bookmarkStart w:id="178" w:name="_Toc21229_WPSOffice_Level1"/>
      <w:bookmarkStart w:id="179" w:name="_Toc31927_WPSOffice_Level1"/>
      <w:r>
        <w:rPr>
          <w:rFonts w:ascii="Times New Roman" w:hAnsi="Times New Roman" w:eastAsia="黑体" w:cs="Times New Roman"/>
          <w:sz w:val="24"/>
        </w:rPr>
        <w:t>二、法定代表人身份证明及授权委托书</w:t>
      </w:r>
      <w:bookmarkEnd w:id="175"/>
      <w:bookmarkEnd w:id="176"/>
      <w:bookmarkEnd w:id="177"/>
      <w:bookmarkEnd w:id="178"/>
      <w:bookmarkEnd w:id="179"/>
    </w:p>
    <w:p>
      <w:pPr>
        <w:spacing w:line="440" w:lineRule="exact"/>
        <w:ind w:left="1619" w:leftChars="771"/>
        <w:rPr>
          <w:rFonts w:ascii="Times New Roman" w:hAnsi="Times New Roman" w:eastAsia="黑体" w:cs="Times New Roman"/>
          <w:sz w:val="24"/>
        </w:rPr>
      </w:pPr>
      <w:bookmarkStart w:id="180" w:name="_Toc29085_WPSOffice_Level1"/>
      <w:bookmarkStart w:id="181" w:name="_Toc23356_WPSOffice_Level1"/>
      <w:bookmarkStart w:id="182" w:name="_Toc4728_WPSOffice_Level1"/>
      <w:bookmarkStart w:id="183" w:name="_Toc25965_WPSOffice_Level1"/>
      <w:bookmarkStart w:id="184" w:name="_Toc15444"/>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80"/>
      <w:bookmarkEnd w:id="181"/>
      <w:bookmarkEnd w:id="182"/>
      <w:bookmarkEnd w:id="183"/>
      <w:r>
        <w:rPr>
          <w:rFonts w:hint="eastAsia" w:ascii="Times New Roman" w:hAnsi="Times New Roman" w:eastAsia="黑体" w:cs="Times New Roman"/>
          <w:sz w:val="24"/>
        </w:rPr>
        <w:t>报价清单</w:t>
      </w:r>
      <w:bookmarkEnd w:id="184"/>
    </w:p>
    <w:p>
      <w:pPr>
        <w:spacing w:line="440" w:lineRule="exact"/>
        <w:ind w:left="1619" w:leftChars="771"/>
        <w:rPr>
          <w:rFonts w:ascii="Times New Roman" w:hAnsi="Times New Roman" w:eastAsia="黑体" w:cs="Times New Roman"/>
          <w:sz w:val="24"/>
        </w:rPr>
      </w:pPr>
      <w:bookmarkStart w:id="185" w:name="_Toc18964_WPSOffice_Level1"/>
      <w:bookmarkStart w:id="186" w:name="_Toc7453_WPSOffice_Level1"/>
      <w:bookmarkStart w:id="187" w:name="_Toc23744_WPSOffice_Level1"/>
      <w:bookmarkStart w:id="188" w:name="_Toc10608_WPSOffice_Level1"/>
      <w:bookmarkStart w:id="189" w:name="_Toc5624"/>
      <w:r>
        <w:rPr>
          <w:rFonts w:hint="eastAsia" w:ascii="Times New Roman" w:hAnsi="Times New Roman" w:eastAsia="黑体" w:cs="Times New Roman"/>
          <w:sz w:val="24"/>
        </w:rPr>
        <w:t>四</w:t>
      </w:r>
      <w:r>
        <w:rPr>
          <w:rFonts w:ascii="Times New Roman" w:hAnsi="Times New Roman" w:eastAsia="黑体" w:cs="Times New Roman"/>
          <w:sz w:val="24"/>
        </w:rPr>
        <w:t>、</w:t>
      </w:r>
      <w:bookmarkEnd w:id="185"/>
      <w:bookmarkEnd w:id="186"/>
      <w:bookmarkEnd w:id="187"/>
      <w:bookmarkEnd w:id="188"/>
      <w:r>
        <w:rPr>
          <w:rFonts w:hint="eastAsia" w:ascii="Times New Roman" w:hAnsi="Times New Roman" w:eastAsia="黑体" w:cs="Times New Roman"/>
          <w:sz w:val="24"/>
        </w:rPr>
        <w:t>供应商基本情况</w:t>
      </w:r>
      <w:bookmarkEnd w:id="189"/>
    </w:p>
    <w:p>
      <w:pPr>
        <w:spacing w:line="440" w:lineRule="exact"/>
        <w:ind w:left="1619" w:leftChars="771"/>
        <w:rPr>
          <w:rFonts w:ascii="Times New Roman" w:hAnsi="Times New Roman" w:eastAsia="黑体" w:cs="Times New Roman"/>
          <w:sz w:val="24"/>
        </w:rPr>
      </w:pPr>
      <w:bookmarkStart w:id="190" w:name="_Toc1578_WPSOffice_Level1"/>
      <w:bookmarkStart w:id="191" w:name="_Toc23751_WPSOffice_Level1"/>
      <w:bookmarkStart w:id="192" w:name="_Toc19601_WPSOffice_Level1"/>
      <w:bookmarkStart w:id="193" w:name="_Toc9006_WPSOffice_Level1"/>
      <w:bookmarkStart w:id="194" w:name="_Toc17399"/>
      <w:r>
        <w:rPr>
          <w:rFonts w:hint="eastAsia" w:ascii="Times New Roman" w:hAnsi="Times New Roman" w:eastAsia="黑体" w:cs="Times New Roman"/>
          <w:sz w:val="24"/>
        </w:rPr>
        <w:t>五、</w:t>
      </w:r>
      <w:bookmarkEnd w:id="190"/>
      <w:bookmarkEnd w:id="191"/>
      <w:bookmarkEnd w:id="192"/>
      <w:bookmarkEnd w:id="193"/>
      <w:r>
        <w:rPr>
          <w:rFonts w:hint="eastAsia" w:ascii="Times New Roman" w:hAnsi="Times New Roman" w:eastAsia="黑体" w:cs="Times New Roman"/>
          <w:sz w:val="24"/>
        </w:rPr>
        <w:t>信誉情况</w:t>
      </w:r>
      <w:bookmarkEnd w:id="194"/>
    </w:p>
    <w:p>
      <w:pPr>
        <w:spacing w:line="440" w:lineRule="exact"/>
        <w:ind w:left="1619" w:leftChars="771"/>
        <w:rPr>
          <w:rFonts w:ascii="Times New Roman" w:hAnsi="Times New Roman" w:eastAsia="黑体" w:cs="Times New Roman"/>
          <w:sz w:val="24"/>
        </w:rPr>
      </w:pPr>
      <w:bookmarkStart w:id="195" w:name="_Toc30234_WPSOffice_Level1"/>
      <w:bookmarkStart w:id="196" w:name="_Toc4051_WPSOffice_Level1"/>
      <w:bookmarkStart w:id="197" w:name="_Toc32152_WPSOffice_Level1"/>
      <w:bookmarkStart w:id="198" w:name="_Toc23147_WPSOffice_Level1"/>
      <w:bookmarkStart w:id="199" w:name="_Toc5285"/>
      <w:r>
        <w:rPr>
          <w:rFonts w:hint="eastAsia" w:ascii="Times New Roman" w:hAnsi="Times New Roman" w:eastAsia="黑体" w:cs="Times New Roman"/>
          <w:sz w:val="24"/>
        </w:rPr>
        <w:t>六</w:t>
      </w:r>
      <w:r>
        <w:rPr>
          <w:rFonts w:ascii="Times New Roman" w:hAnsi="Times New Roman" w:eastAsia="黑体" w:cs="Times New Roman"/>
          <w:sz w:val="24"/>
        </w:rPr>
        <w:t>、</w:t>
      </w:r>
      <w:bookmarkEnd w:id="195"/>
      <w:bookmarkEnd w:id="196"/>
      <w:bookmarkEnd w:id="197"/>
      <w:bookmarkEnd w:id="198"/>
      <w:r>
        <w:rPr>
          <w:rFonts w:hint="eastAsia" w:ascii="Times New Roman" w:hAnsi="Times New Roman" w:eastAsia="黑体" w:cs="Times New Roman"/>
          <w:sz w:val="24"/>
        </w:rPr>
        <w:t>技术方案</w:t>
      </w:r>
      <w:bookmarkEnd w:id="199"/>
    </w:p>
    <w:p>
      <w:pPr>
        <w:spacing w:line="440" w:lineRule="exact"/>
        <w:ind w:left="1619" w:leftChars="771"/>
        <w:rPr>
          <w:rFonts w:ascii="Times New Roman" w:hAnsi="Times New Roman" w:eastAsia="黑体" w:cs="Times New Roman"/>
          <w:sz w:val="24"/>
        </w:rPr>
      </w:pPr>
      <w:bookmarkStart w:id="200" w:name="_Toc12362"/>
      <w:bookmarkStart w:id="201" w:name="_Toc16988_WPSOffice_Level1"/>
      <w:bookmarkStart w:id="202" w:name="_Toc5885_WPSOffice_Level1"/>
      <w:r>
        <w:rPr>
          <w:rFonts w:hint="eastAsia" w:ascii="Times New Roman" w:hAnsi="Times New Roman" w:eastAsia="黑体" w:cs="Times New Roman"/>
          <w:sz w:val="24"/>
        </w:rPr>
        <w:t>七、其他材料</w:t>
      </w:r>
      <w:bookmarkEnd w:id="174"/>
      <w:bookmarkEnd w:id="200"/>
      <w:bookmarkEnd w:id="201"/>
      <w:bookmarkEnd w:id="202"/>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203" w:name="_Toc1687_WPSOffice_Level1"/>
      <w:bookmarkStart w:id="204" w:name="_Toc18312_WPSOffice_Level1"/>
      <w:bookmarkStart w:id="205" w:name="_Toc30031_WPSOffice_Level1"/>
      <w:bookmarkStart w:id="206" w:name="_Toc6979"/>
      <w:bookmarkStart w:id="207" w:name="_Toc2765_WPSOffice_Level1"/>
      <w:r>
        <w:rPr>
          <w:rFonts w:ascii="Times New Roman" w:hAnsi="Times New Roman" w:eastAsia="黑体" w:cs="Times New Roman"/>
          <w:sz w:val="28"/>
          <w:szCs w:val="28"/>
        </w:rPr>
        <w:t>一、报价函</w:t>
      </w:r>
      <w:bookmarkEnd w:id="203"/>
      <w:bookmarkEnd w:id="204"/>
      <w:bookmarkEnd w:id="205"/>
      <w:bookmarkEnd w:id="206"/>
      <w:bookmarkEnd w:id="207"/>
    </w:p>
    <w:p>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合同包询比文件的全部内容(含补遗书第__号至第__号)，愿意以人民币(大写)</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sz w:val="24"/>
        </w:rPr>
        <w:t>，安全目标达到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3．如我方成交：</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.____________。</w:t>
      </w:r>
    </w:p>
    <w:p>
      <w:pPr>
        <w:spacing w:line="360" w:lineRule="auto"/>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360" w:lineRule="auto"/>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（负责人）或委托代理人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360" w:lineRule="auto"/>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360" w:lineRule="auto"/>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360" w:lineRule="auto"/>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360" w:lineRule="auto"/>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360" w:lineRule="auto"/>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208" w:name="_Toc8695_WPSOffice_Level1"/>
      <w:bookmarkStart w:id="209" w:name="_Toc11213"/>
      <w:bookmarkStart w:id="210" w:name="_Toc32350_WPSOffice_Level1"/>
      <w:bookmarkStart w:id="211" w:name="_Toc14563_WPSOffice_Level1"/>
      <w:bookmarkStart w:id="212" w:name="_Toc18668_WPSOffice_Level1"/>
      <w:r>
        <w:rPr>
          <w:rFonts w:ascii="Times New Roman" w:hAnsi="Times New Roman" w:eastAsia="黑体" w:cs="Times New Roman"/>
          <w:sz w:val="28"/>
          <w:szCs w:val="28"/>
        </w:rPr>
        <w:t>二、法定代表人</w:t>
      </w:r>
      <w:r>
        <w:rPr>
          <w:rFonts w:hint="eastAsia" w:ascii="Times New Roman" w:hAnsi="Times New Roman" w:eastAsia="黑体" w:cs="Times New Roman"/>
          <w:sz w:val="28"/>
          <w:szCs w:val="28"/>
        </w:rPr>
        <w:t>（负责人）</w:t>
      </w:r>
      <w:r>
        <w:rPr>
          <w:rFonts w:ascii="Times New Roman" w:hAnsi="Times New Roman" w:eastAsia="黑体" w:cs="Times New Roman"/>
          <w:sz w:val="28"/>
          <w:szCs w:val="28"/>
        </w:rPr>
        <w:t>身份证明及授权委托书</w:t>
      </w:r>
      <w:bookmarkEnd w:id="208"/>
      <w:bookmarkEnd w:id="209"/>
      <w:bookmarkEnd w:id="210"/>
      <w:bookmarkEnd w:id="211"/>
      <w:bookmarkEnd w:id="21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213" w:name="_Toc20803_WPSOffice_Level2"/>
      <w:bookmarkStart w:id="214" w:name="_Toc5153_WPSOffice_Level2"/>
      <w:r>
        <w:rPr>
          <w:rFonts w:ascii="Times New Roman" w:hAnsi="Times New Roman" w:eastAsia="黑体" w:cs="Times New Roman"/>
          <w:bCs/>
          <w:sz w:val="28"/>
          <w:szCs w:val="28"/>
        </w:rPr>
        <w:t>2-1 法定代表人</w:t>
      </w:r>
      <w:r>
        <w:rPr>
          <w:rFonts w:hint="eastAsia" w:ascii="Times New Roman" w:hAnsi="Times New Roman" w:eastAsia="黑体" w:cs="Times New Roman"/>
          <w:bCs/>
          <w:sz w:val="28"/>
          <w:szCs w:val="28"/>
        </w:rPr>
        <w:t>/单位负责人</w:t>
      </w:r>
      <w:r>
        <w:rPr>
          <w:rFonts w:ascii="Times New Roman" w:hAnsi="Times New Roman" w:eastAsia="黑体" w:cs="Times New Roman"/>
          <w:bCs/>
          <w:sz w:val="28"/>
          <w:szCs w:val="28"/>
        </w:rPr>
        <w:t>身份证明</w:t>
      </w:r>
      <w:bookmarkEnd w:id="213"/>
      <w:bookmarkEnd w:id="214"/>
    </w:p>
    <w:p>
      <w:pPr>
        <w:spacing w:line="440" w:lineRule="exact"/>
        <w:rPr>
          <w:rFonts w:ascii="Times New Roman" w:hAnsi="Times New Roman" w:cs="Times New Roman"/>
          <w:sz w:val="20"/>
          <w:szCs w:val="20"/>
        </w:rPr>
      </w:pPr>
    </w:p>
    <w:p>
      <w:pPr>
        <w:spacing w:line="360" w:lineRule="auto"/>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360" w:lineRule="auto"/>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360" w:lineRule="auto"/>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360" w:lineRule="auto"/>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360" w:lineRule="auto"/>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360" w:lineRule="auto"/>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360" w:lineRule="auto"/>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（负责人）身份证正反面复印件</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r>
        <w:rPr>
          <w:rFonts w:ascii="Times New Roman" w:hAnsi="Times New Roman" w:cs="Times New Roman"/>
          <w:sz w:val="24"/>
        </w:rPr>
        <w:t>特此证明。</w:t>
      </w: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215" w:name="_Toc12035_WPSOffice_Level2"/>
      <w:bookmarkStart w:id="21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215"/>
      <w:bookmarkEnd w:id="216"/>
    </w:p>
    <w:p>
      <w:pPr>
        <w:spacing w:line="440" w:lineRule="exact"/>
        <w:rPr>
          <w:rFonts w:ascii="Times New Roman" w:hAnsi="Times New Roman" w:eastAsia="黑体" w:cs="Times New Roman"/>
          <w:sz w:val="24"/>
        </w:rPr>
      </w:pPr>
    </w:p>
    <w:p>
      <w:pPr>
        <w:topLinePunct/>
        <w:spacing w:line="360" w:lineRule="auto"/>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w:t>
      </w:r>
      <w:r>
        <w:rPr>
          <w:rFonts w:hint="eastAsia" w:ascii="Times New Roman" w:hAnsi="Times New Roman" w:cs="Times New Roman"/>
          <w:sz w:val="24"/>
        </w:rPr>
        <w:t>（负责人）</w:t>
      </w:r>
      <w:r>
        <w:rPr>
          <w:rFonts w:ascii="Times New Roman" w:hAnsi="Times New Roman" w:cs="Times New Roman"/>
          <w:sz w:val="24"/>
        </w:rPr>
        <w:t>，现委托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360" w:lineRule="auto"/>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（负责人）</w:t>
      </w:r>
      <w:r>
        <w:rPr>
          <w:rFonts w:ascii="Times New Roman" w:hAnsi="Times New Roman" w:cs="Times New Roman"/>
          <w:sz w:val="24"/>
        </w:rPr>
        <w:t>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（负责人）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217" w:name="_Toc24530_WPSOffice_Level1"/>
      <w:bookmarkStart w:id="218" w:name="_Toc24567_WPSOffice_Level1"/>
      <w:bookmarkStart w:id="219" w:name="_Toc15186_WPSOffice_Level1"/>
      <w:bookmarkStart w:id="220" w:name="_Toc32085_WPSOffice_Level1"/>
      <w:bookmarkStart w:id="221" w:name="_Toc9279"/>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217"/>
      <w:bookmarkEnd w:id="218"/>
      <w:bookmarkEnd w:id="219"/>
      <w:bookmarkEnd w:id="220"/>
      <w:r>
        <w:rPr>
          <w:rFonts w:hint="eastAsia" w:ascii="Times New Roman" w:hAnsi="Times New Roman" w:eastAsia="黑体" w:cs="Times New Roman"/>
          <w:sz w:val="28"/>
          <w:szCs w:val="28"/>
        </w:rPr>
        <w:t>报价清单</w:t>
      </w:r>
      <w:bookmarkEnd w:id="221"/>
    </w:p>
    <w:p>
      <w:pPr>
        <w:jc w:val="center"/>
        <w:rPr>
          <w:rFonts w:ascii="黑体" w:hAnsi="黑体"/>
          <w:b/>
          <w:bCs/>
          <w:sz w:val="30"/>
          <w:szCs w:val="30"/>
        </w:rPr>
      </w:pPr>
    </w:p>
    <w:p>
      <w:pPr>
        <w:jc w:val="center"/>
        <w:rPr>
          <w:rFonts w:ascii="黑体" w:hAnsi="黑体"/>
          <w:b/>
          <w:bCs/>
          <w:sz w:val="30"/>
          <w:szCs w:val="30"/>
        </w:rPr>
      </w:pPr>
      <w:r>
        <w:rPr>
          <w:rFonts w:hint="eastAsia" w:ascii="黑体" w:hAnsi="黑体"/>
          <w:b/>
          <w:bCs/>
          <w:sz w:val="30"/>
          <w:szCs w:val="30"/>
        </w:rPr>
        <w:t>清单说明</w:t>
      </w:r>
    </w:p>
    <w:p>
      <w:pPr>
        <w:spacing w:line="360" w:lineRule="auto"/>
        <w:ind w:firstLine="600" w:firstLineChars="200"/>
        <w:jc w:val="center"/>
        <w:rPr>
          <w:rFonts w:ascii="黑体" w:hAnsi="黑体"/>
          <w:b/>
          <w:bCs/>
          <w:sz w:val="30"/>
          <w:szCs w:val="30"/>
        </w:rPr>
      </w:pPr>
    </w:p>
    <w:p>
      <w:pPr>
        <w:spacing w:line="360" w:lineRule="auto"/>
        <w:ind w:firstLine="437"/>
        <w:rPr>
          <w:sz w:val="22"/>
          <w:szCs w:val="21"/>
        </w:rPr>
      </w:pPr>
      <w:r>
        <w:rPr>
          <w:sz w:val="22"/>
          <w:szCs w:val="21"/>
        </w:rPr>
        <w:t>1</w:t>
      </w:r>
      <w:r>
        <w:rPr>
          <w:rFonts w:hint="eastAsia"/>
          <w:sz w:val="22"/>
          <w:szCs w:val="21"/>
        </w:rPr>
        <w:t>.</w:t>
      </w:r>
      <w:r>
        <w:rPr>
          <w:sz w:val="22"/>
          <w:szCs w:val="21"/>
        </w:rPr>
        <w:t>本</w:t>
      </w:r>
      <w:r>
        <w:rPr>
          <w:rFonts w:hint="eastAsia"/>
          <w:sz w:val="22"/>
          <w:szCs w:val="21"/>
        </w:rPr>
        <w:t>报价</w:t>
      </w:r>
      <w:r>
        <w:rPr>
          <w:sz w:val="22"/>
          <w:szCs w:val="21"/>
        </w:rPr>
        <w:t>清单应与</w:t>
      </w:r>
      <w:r>
        <w:rPr>
          <w:rFonts w:hint="eastAsia"/>
          <w:sz w:val="22"/>
          <w:szCs w:val="21"/>
        </w:rPr>
        <w:t>采购需求</w:t>
      </w:r>
      <w:r>
        <w:rPr>
          <w:sz w:val="22"/>
          <w:szCs w:val="21"/>
        </w:rPr>
        <w:t>等文件结合起来查阅与理解。</w:t>
      </w:r>
    </w:p>
    <w:p>
      <w:pPr>
        <w:spacing w:line="360" w:lineRule="auto"/>
        <w:ind w:firstLine="437"/>
        <w:rPr>
          <w:sz w:val="22"/>
          <w:szCs w:val="21"/>
        </w:rPr>
      </w:pPr>
      <w:r>
        <w:rPr>
          <w:sz w:val="22"/>
          <w:szCs w:val="21"/>
        </w:rPr>
        <w:t>2</w:t>
      </w:r>
      <w:r>
        <w:rPr>
          <w:rFonts w:hint="eastAsia"/>
          <w:sz w:val="22"/>
          <w:szCs w:val="21"/>
        </w:rPr>
        <w:t>.</w:t>
      </w:r>
      <w:r>
        <w:rPr>
          <w:sz w:val="22"/>
          <w:szCs w:val="21"/>
        </w:rPr>
        <w:t>除非合同另有规定</w:t>
      </w:r>
      <w:r>
        <w:rPr>
          <w:rFonts w:hint="eastAsia"/>
          <w:sz w:val="22"/>
          <w:szCs w:val="21"/>
        </w:rPr>
        <w:t>及本说明第四条因素变化</w:t>
      </w:r>
      <w:r>
        <w:rPr>
          <w:sz w:val="22"/>
          <w:szCs w:val="21"/>
        </w:rPr>
        <w:t>，清单中综合单价</w:t>
      </w:r>
      <w:r>
        <w:rPr>
          <w:rFonts w:hint="eastAsia"/>
          <w:sz w:val="22"/>
          <w:szCs w:val="21"/>
        </w:rPr>
        <w:t>应为每台车辆的保险费用，清单中的总价为服务期内所有车辆费用汇总。</w:t>
      </w:r>
    </w:p>
    <w:p>
      <w:pPr>
        <w:spacing w:line="360" w:lineRule="auto"/>
        <w:ind w:firstLine="437"/>
        <w:rPr>
          <w:sz w:val="22"/>
          <w:szCs w:val="21"/>
        </w:rPr>
      </w:pPr>
      <w:r>
        <w:rPr>
          <w:rFonts w:hint="eastAsia"/>
          <w:sz w:val="22"/>
          <w:szCs w:val="21"/>
        </w:rPr>
        <w:t>3.本项目暂列金额5万元，用于支付三年服务期内清单车辆车船使用税、新增车辆保险费，据实结算，暂列金额与清单总价两项合计为本次采购项目报价函总价。</w:t>
      </w:r>
    </w:p>
    <w:p>
      <w:pPr>
        <w:spacing w:line="360" w:lineRule="auto"/>
        <w:ind w:firstLine="437"/>
        <w:rPr>
          <w:b/>
          <w:bCs/>
          <w:sz w:val="22"/>
          <w:szCs w:val="21"/>
        </w:rPr>
      </w:pPr>
      <w:r>
        <w:rPr>
          <w:rFonts w:hint="eastAsia"/>
          <w:b/>
          <w:bCs/>
          <w:sz w:val="22"/>
          <w:szCs w:val="21"/>
        </w:rPr>
        <w:t>4.清单中车辆服务期内因车辆出险、交通违法行为等因素引起的综合费率变化产生的变动费用可据实调增，中标供应商须提供出险证明等相关证明材料；清单中车辆服务期内因车损保额降低、车辆下线等因素产生的变动费用须据实调减。</w:t>
      </w:r>
    </w:p>
    <w:p>
      <w:pPr>
        <w:spacing w:line="360" w:lineRule="auto"/>
        <w:ind w:firstLine="437"/>
        <w:rPr>
          <w:sz w:val="22"/>
          <w:szCs w:val="21"/>
        </w:rPr>
      </w:pPr>
      <w:r>
        <w:rPr>
          <w:rFonts w:hint="eastAsia"/>
          <w:sz w:val="22"/>
          <w:szCs w:val="21"/>
        </w:rPr>
        <w:t>5.竞标人提供的报价应当以本公司在保险监督管理机构备案的费率表为依据。</w:t>
      </w:r>
    </w:p>
    <w:p>
      <w:pPr>
        <w:spacing w:line="360" w:lineRule="auto"/>
        <w:ind w:firstLine="437"/>
        <w:rPr>
          <w:sz w:val="22"/>
          <w:szCs w:val="21"/>
        </w:rPr>
      </w:pPr>
      <w:r>
        <w:rPr>
          <w:rFonts w:hint="eastAsia"/>
          <w:sz w:val="22"/>
          <w:szCs w:val="21"/>
        </w:rPr>
        <w:t xml:space="preserve">6.保费必须依据保险监督管理机构审批的非营业用车之标准费率表进行计算。 </w:t>
      </w:r>
    </w:p>
    <w:p>
      <w:pPr>
        <w:spacing w:line="360" w:lineRule="auto"/>
        <w:ind w:firstLine="437"/>
        <w:rPr>
          <w:sz w:val="22"/>
          <w:szCs w:val="21"/>
        </w:rPr>
      </w:pPr>
      <w:r>
        <w:rPr>
          <w:rFonts w:hint="eastAsia"/>
          <w:sz w:val="22"/>
          <w:szCs w:val="21"/>
        </w:rPr>
        <w:t>7.报价清单中的各项费用货币单位均为人民币(元)。</w:t>
      </w:r>
    </w:p>
    <w:p>
      <w:pPr>
        <w:spacing w:line="360" w:lineRule="auto"/>
        <w:ind w:firstLine="437"/>
        <w:rPr>
          <w:sz w:val="22"/>
          <w:szCs w:val="21"/>
        </w:rPr>
      </w:pPr>
      <w:r>
        <w:rPr>
          <w:rFonts w:hint="eastAsia"/>
          <w:sz w:val="22"/>
          <w:szCs w:val="21"/>
        </w:rPr>
        <w:t>8.起始时间以实际车辆保险期限为准。</w:t>
      </w:r>
    </w:p>
    <w:p>
      <w:pPr>
        <w:ind w:firstLine="420" w:firstLineChars="150"/>
        <w:rPr>
          <w:rFonts w:ascii="宋体" w:hAnsi="宋体"/>
          <w:sz w:val="28"/>
          <w:u w:val="single"/>
        </w:rPr>
      </w:pPr>
    </w:p>
    <w:p>
      <w:pPr>
        <w:ind w:firstLine="420" w:firstLineChars="150"/>
        <w:rPr>
          <w:rFonts w:ascii="宋体" w:hAnsi="宋体"/>
          <w:sz w:val="28"/>
          <w:u w:val="single"/>
        </w:rPr>
      </w:pPr>
    </w:p>
    <w:p>
      <w:pPr>
        <w:ind w:firstLine="420" w:firstLineChars="150"/>
        <w:rPr>
          <w:rFonts w:ascii="宋体" w:hAnsi="宋体"/>
          <w:sz w:val="28"/>
          <w:u w:val="single"/>
        </w:rPr>
      </w:pPr>
    </w:p>
    <w:p>
      <w:pPr>
        <w:ind w:firstLine="420" w:firstLineChars="150"/>
        <w:rPr>
          <w:rFonts w:ascii="宋体" w:hAnsi="宋体"/>
          <w:sz w:val="28"/>
          <w:u w:val="single"/>
        </w:rPr>
      </w:pPr>
    </w:p>
    <w:p>
      <w:pPr>
        <w:ind w:firstLine="420" w:firstLineChars="150"/>
        <w:rPr>
          <w:rFonts w:ascii="宋体" w:hAnsi="宋体"/>
          <w:sz w:val="28"/>
          <w:u w:val="single"/>
        </w:rPr>
      </w:pPr>
    </w:p>
    <w:p>
      <w:pPr>
        <w:rPr>
          <w:u w:val="single"/>
        </w:rPr>
        <w:sectPr>
          <w:footerReference r:id="rId3" w:type="default"/>
          <w:footnotePr>
            <w:numFmt w:val="decimalEnclosedCircleChinese"/>
          </w:footnotePr>
          <w:pgSz w:w="11906" w:h="16838"/>
          <w:pgMar w:top="1417" w:right="1417" w:bottom="1417" w:left="1417" w:header="851" w:footer="992" w:gutter="0"/>
          <w:cols w:space="0" w:num="1"/>
          <w:docGrid w:type="linesAndChars" w:linePitch="312" w:charSpace="0"/>
        </w:sectPr>
      </w:pPr>
      <w:r>
        <w:rPr>
          <w:rFonts w:hint="eastAsia"/>
        </w:rPr>
        <w:t>竞标单位</w:t>
      </w:r>
      <w:r>
        <w:rPr>
          <w:rFonts w:hint="eastAsia"/>
          <w:szCs w:val="21"/>
        </w:rPr>
        <w:t>负责人</w:t>
      </w:r>
      <w:r>
        <w:rPr>
          <w:rFonts w:hint="eastAsia"/>
        </w:rPr>
        <w:t>（或授权委托人）签名：</w:t>
      </w:r>
      <w:r>
        <w:rPr>
          <w:rFonts w:hint="eastAsia"/>
          <w:u w:val="single"/>
        </w:rPr>
        <w:t xml:space="preserve">              </w:t>
      </w:r>
      <w:r>
        <w:rPr>
          <w:rFonts w:hint="eastAsia"/>
        </w:rPr>
        <w:t xml:space="preserve">       竞标单位盖章：</w:t>
      </w:r>
      <w:r>
        <w:rPr>
          <w:rFonts w:hint="eastAsia"/>
          <w:u w:val="single"/>
        </w:rPr>
        <w:t xml:space="preserve">               </w:t>
      </w:r>
    </w:p>
    <w:p>
      <w:pPr>
        <w:jc w:val="center"/>
        <w:rPr>
          <w:rFonts w:ascii="Arial" w:hAnsi="Arial"/>
          <w:b/>
          <w:bCs/>
          <w:sz w:val="28"/>
          <w:szCs w:val="28"/>
        </w:rPr>
      </w:pPr>
      <w:r>
        <w:rPr>
          <w:rFonts w:hint="eastAsia" w:ascii="Arial" w:hAnsi="Arial"/>
          <w:b/>
          <w:bCs/>
          <w:sz w:val="28"/>
          <w:szCs w:val="28"/>
        </w:rPr>
        <w:t>2021-2023年度养管中心车辆保险服务报价清单</w:t>
      </w:r>
    </w:p>
    <w:tbl>
      <w:tblPr>
        <w:tblStyle w:val="21"/>
        <w:tblW w:w="15540" w:type="dxa"/>
        <w:tblInd w:w="0" w:type="dxa"/>
        <w:tblLayout w:type="fixed"/>
        <w:tblCellMar>
          <w:top w:w="0" w:type="dxa"/>
          <w:left w:w="0" w:type="dxa"/>
          <w:bottom w:w="0" w:type="dxa"/>
          <w:right w:w="0" w:type="dxa"/>
        </w:tblCellMar>
      </w:tblPr>
      <w:tblGrid>
        <w:gridCol w:w="415"/>
        <w:gridCol w:w="1152"/>
        <w:gridCol w:w="1562"/>
        <w:gridCol w:w="1108"/>
        <w:gridCol w:w="1108"/>
        <w:gridCol w:w="1245"/>
        <w:gridCol w:w="494"/>
        <w:gridCol w:w="1152"/>
        <w:gridCol w:w="1271"/>
        <w:gridCol w:w="1033"/>
        <w:gridCol w:w="1524"/>
        <w:gridCol w:w="1074"/>
        <w:gridCol w:w="1201"/>
        <w:gridCol w:w="1201"/>
      </w:tblGrid>
      <w:tr>
        <w:tblPrEx>
          <w:tblCellMar>
            <w:top w:w="0" w:type="dxa"/>
            <w:left w:w="0" w:type="dxa"/>
            <w:bottom w:w="0" w:type="dxa"/>
            <w:right w:w="0" w:type="dxa"/>
          </w:tblCellMar>
        </w:tblPrEx>
        <w:trPr>
          <w:trHeight w:val="958"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序号</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车辆牌号</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车辆品牌型号</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初次登记日期</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发动机号</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车架号</w:t>
            </w:r>
          </w:p>
        </w:tc>
        <w:tc>
          <w:tcPr>
            <w:tcW w:w="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座</w:t>
            </w:r>
            <w:r>
              <w:rPr>
                <w:rFonts w:hint="eastAsia" w:ascii="宋体" w:hAnsi="宋体" w:cs="宋体"/>
                <w:kern w:val="0"/>
                <w:sz w:val="20"/>
                <w:szCs w:val="20"/>
              </w:rPr>
              <w:br w:type="textWrapping"/>
            </w:r>
            <w:r>
              <w:rPr>
                <w:rFonts w:hint="eastAsia" w:ascii="宋体" w:hAnsi="宋体" w:cs="宋体"/>
                <w:kern w:val="0"/>
                <w:sz w:val="20"/>
                <w:szCs w:val="20"/>
              </w:rPr>
              <w:t>位</w:t>
            </w:r>
            <w:r>
              <w:rPr>
                <w:rFonts w:hint="eastAsia" w:ascii="宋体" w:hAnsi="宋体" w:cs="宋体"/>
                <w:kern w:val="0"/>
                <w:sz w:val="20"/>
                <w:szCs w:val="20"/>
              </w:rPr>
              <w:br w:type="textWrapping"/>
            </w:r>
            <w:r>
              <w:rPr>
                <w:rFonts w:hint="eastAsia" w:ascii="宋体" w:hAnsi="宋体" w:cs="宋体"/>
                <w:kern w:val="0"/>
                <w:sz w:val="20"/>
                <w:szCs w:val="20"/>
              </w:rPr>
              <w:t>数</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车损险</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第三者责</w:t>
            </w:r>
            <w:r>
              <w:rPr>
                <w:rFonts w:hint="eastAsia" w:ascii="宋体" w:hAnsi="宋体" w:cs="宋体"/>
                <w:kern w:val="0"/>
                <w:sz w:val="20"/>
                <w:szCs w:val="20"/>
              </w:rPr>
              <w:br w:type="textWrapping"/>
            </w:r>
            <w:r>
              <w:rPr>
                <w:rFonts w:hint="eastAsia" w:ascii="宋体" w:hAnsi="宋体" w:cs="宋体"/>
                <w:kern w:val="0"/>
                <w:sz w:val="20"/>
                <w:szCs w:val="20"/>
              </w:rPr>
              <w:t>任险</w:t>
            </w:r>
            <w:r>
              <w:rPr>
                <w:rFonts w:hint="eastAsia" w:ascii="宋体" w:hAnsi="宋体" w:cs="宋体"/>
                <w:kern w:val="0"/>
                <w:sz w:val="20"/>
                <w:szCs w:val="20"/>
              </w:rPr>
              <w:br w:type="textWrapping"/>
            </w:r>
            <w:r>
              <w:rPr>
                <w:rFonts w:hint="eastAsia" w:ascii="宋体" w:hAnsi="宋体" w:cs="宋体"/>
                <w:kern w:val="0"/>
                <w:sz w:val="20"/>
                <w:szCs w:val="20"/>
              </w:rPr>
              <w:t>（100万）</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车上人员险（驾驶员</w:t>
            </w:r>
            <w:r>
              <w:rPr>
                <w:rFonts w:hint="eastAsia" w:ascii="宋体" w:hAnsi="宋体" w:cs="宋体"/>
                <w:kern w:val="0"/>
                <w:sz w:val="20"/>
                <w:szCs w:val="20"/>
              </w:rPr>
              <w:br w:type="textWrapping"/>
            </w:r>
            <w:r>
              <w:rPr>
                <w:rFonts w:hint="eastAsia" w:ascii="宋体" w:hAnsi="宋体" w:cs="宋体"/>
                <w:kern w:val="0"/>
                <w:sz w:val="20"/>
                <w:szCs w:val="20"/>
              </w:rPr>
              <w:t>（10万））</w:t>
            </w: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车上人员</w:t>
            </w:r>
            <w:r>
              <w:rPr>
                <w:rFonts w:hint="eastAsia" w:ascii="宋体" w:hAnsi="宋体" w:cs="宋体"/>
                <w:kern w:val="0"/>
                <w:sz w:val="20"/>
                <w:szCs w:val="20"/>
              </w:rPr>
              <w:br w:type="textWrapping"/>
            </w:r>
            <w:r>
              <w:rPr>
                <w:rFonts w:hint="eastAsia" w:ascii="宋体" w:hAnsi="宋体" w:cs="宋体"/>
                <w:kern w:val="0"/>
                <w:sz w:val="20"/>
                <w:szCs w:val="20"/>
              </w:rPr>
              <w:t>险（其他座位1万/人）</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交强险</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年限</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小计（元）</w:t>
            </w: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皖AJH015</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桑塔纳SVW7182QQD轿车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2012年1月10日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203004</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LSVT91332BN120576</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2</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皖AGS356</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桑塔纳SVW7182QQD轿车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2011年9月15日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170379</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LSVT91337BN083234</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皖AQ978A</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别克SGM7157EAA1轿车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2018年6月7日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180793866</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LSGZR5356JH134407</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皖AJ663K</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别克SGM7243ATA轿车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2011年6月16日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111080318</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LSGGF53W1BH159791</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皖AGL173</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别克SGM6531ATA小型普通客车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2014年3月14日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133320319</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LSGUA84B5EE009803</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皖A308TF</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别克牌SGM6531UBA1小型普通客车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2019年6月12日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191015532</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LSGUA84L0KF032064</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皖A526HF</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传祺GAC7180L2A5轿车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2019年6月12日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D111036</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LMGLG1G53J1004727</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皖AJK438</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传祺GAC6450A2E5小型普通客车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2017年6月6日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F205854</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LMGAC1G84H1205799</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皖AJK744</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传祺GAC6450A2E5小型普通客车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2017年6月19日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F206264</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LMGAC1G80H1206027</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皖AJK344</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传祺GAC6450A2E5小型普通客车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2017年6月6日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F206196</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LMGAC1G80H1206111</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皖A308EE</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传祺牌GAH6470D2M6A小型普通客车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2019年6月12日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H107813</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LMWDT1G80K1024479</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皖A651FF</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传祺牌GAH6470D2M6A小型普通客车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2019年6月12日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H091938</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LMWDT1G8XK1019788</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皖A807FE</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传祺牌GAH6470D2M6A小型普通客车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2019年6月12日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F681726</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LMWDT1G82K1019770</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皖AJ857K</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传祺牌GAH6470D2M6A小型普通客车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2019年6月12日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H101080</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LMWDT1G81K1021140</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皖A3P352</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传祺GAC6480J2F5小型普通客车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2017年7月18日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C860482</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LMGJS1G50H1031187</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皖A503W2</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传祺GAC6480J2F5小型普通客车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2017年7月18日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C872687</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LMGJS1G5XH1037451</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皖A387XE</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传祺GAC6480J2F5小型普通客车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2019年6月12日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D231175</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LMGJS1G53K1151945</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皖A1MD33</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传祺GAC6461A2K6小型普通客车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2020年9月7日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D346349</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LMGAB1L88L1000374</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皖A0BD86</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传祺GAC6480J2P6C小型普通客车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2020年9月7日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D326008</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LMGJU1G87K1011613</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皖A7UE87</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传祺GAC6480J2P6C小型普通客车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2020年9月7日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D326051</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LMGJU1G87K1011644</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皖AGL163</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大众汽车SVW72010KJ轿车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2014年2月24日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P03512</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LSVCJ6A40EN033568</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皖AJ682K</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大众汽车SVW71612BS轿车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2013年4月17日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A06280</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LSVAB4BRXDN026497</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23</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皖AD2965</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大众汽车SVW71612BS轿车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2014年8月6日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A90103</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LSVAB6BR4EN109128</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24</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皖AWT260</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大众汽车SVW71612BS轿车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2013年8月9日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44294</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LSVAB6BR7DN055418</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皖AGS127</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大众汽车SVW71612CS轿车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2013年10月9日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41847</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LSVAC68R5DN047640</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26</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皖A92542</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江淮HFC7202EF轿车（越野车）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2014年7月22日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E3048007</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LJ12EKS44E4724159</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皖A26464</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江淮HFC7152EF轿车（越野车）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2015年7月8日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F3604454</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LJ12EKS41F4793313</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28</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皖AJ1926</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江淮HFC7202EF轿车（越野车）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2014年7月22日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E3047947</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LJ12EKS42E4724158</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29</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皖AG4387</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江淮HFC7152EF轿车（越野车）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2015年7月15日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F3604453</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LJ12EKS43F4793314</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皖AJ672K</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起亚YQZ6430E小型普通客车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2012年3月20日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C5001989</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LJDFAA147C0202027</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皖AJ675K</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起亚YQZ6430E小型普通客车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2012年3月20日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C5001984</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LJDFAA147C0202013</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32</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皖A92851</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起亚YQZ6430AE小型普通客车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2014年3月7日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E1002447</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LJDFAA14XE0289151</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33</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皖AJ671K</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起亚YQZ6430AE小型普通客车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2013年4月16日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D5008691</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LJDFAA149D0249514</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34</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皖AJ911K</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起亚YQZ7204A轿车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2014年4月14日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EW509205</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LJDKAA24XE0151381</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皖AJ670K</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起亚YQZ6442A小型普通客车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2014年4月14日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EW513521</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LJDJAA142E0253545</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36</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皖AB209G</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三菱GMC6472A小型普通客车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2018年5月29日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XP7011</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LL66HAB06JB005971</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皖AX0032</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帕杰罗PAJERO V93小型越野客车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2010年11月10日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6G72XD7616</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JE4NR52MXAJ004616</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38</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皖AJH023</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江铃JX1021TS3轻型载货汽车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2014年4月19日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C3048501</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LEFEDCD12CHP23113</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39</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皖AE6010</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尼桑ZN1033U2G4轻型货车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2014年8月8日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825172X</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LJNTGU2G0EN102929</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40</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皖AGL970</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尼桑ZN1033U2G4轻型货车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kern w:val="0"/>
                <w:sz w:val="20"/>
                <w:szCs w:val="20"/>
              </w:rPr>
            </w:pPr>
            <w:r>
              <w:rPr>
                <w:rFonts w:hint="eastAsia" w:ascii="宋体" w:hAnsi="宋体" w:eastAsia="宋体" w:cs="宋体"/>
                <w:color w:val="000000"/>
                <w:kern w:val="0"/>
                <w:sz w:val="20"/>
                <w:szCs w:val="20"/>
              </w:rPr>
              <w:t>2012年8月10日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951229Z</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LJNTGU2G1CN051809</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5</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41</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皖AGL967</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尼桑ZN6494H2G4小型普通客车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sz w:val="20"/>
                <w:szCs w:val="20"/>
              </w:rPr>
            </w:pPr>
            <w:r>
              <w:rPr>
                <w:rFonts w:hint="eastAsia" w:ascii="宋体" w:hAnsi="宋体" w:eastAsia="宋体" w:cs="宋体"/>
                <w:color w:val="000000"/>
                <w:kern w:val="0"/>
                <w:sz w:val="20"/>
                <w:szCs w:val="20"/>
              </w:rPr>
              <w:t>2012年8月10日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951325Z</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LJNMFE2G7CN054274</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42</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皖AGL976</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尼桑ZN6494H2G4小型普通客车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kern w:val="0"/>
                <w:sz w:val="20"/>
                <w:szCs w:val="20"/>
              </w:rPr>
            </w:pPr>
            <w:r>
              <w:rPr>
                <w:rFonts w:hint="eastAsia" w:ascii="宋体" w:hAnsi="宋体" w:eastAsia="宋体" w:cs="宋体"/>
                <w:color w:val="000000"/>
                <w:kern w:val="0"/>
                <w:sz w:val="20"/>
                <w:szCs w:val="20"/>
              </w:rPr>
              <w:t>2012年8月10日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951283Z</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LJNMFE2G7CN054503</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43</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皖AWT132</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尼桑ZN6494H2G4小型普通客车</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pacing w:val="-20"/>
                <w:kern w:val="0"/>
                <w:sz w:val="20"/>
                <w:szCs w:val="20"/>
              </w:rPr>
            </w:pPr>
            <w:r>
              <w:rPr>
                <w:rFonts w:hint="eastAsia" w:ascii="宋体" w:hAnsi="宋体" w:eastAsia="宋体" w:cs="宋体"/>
                <w:color w:val="000000"/>
                <w:kern w:val="0"/>
                <w:sz w:val="20"/>
                <w:szCs w:val="20"/>
              </w:rPr>
              <w:t>2012年6月11日</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944162Z</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LJNMFE2G7CN041170</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rPr>
              <w:t>7</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r>
        <w:tblPrEx>
          <w:tblCellMar>
            <w:top w:w="0" w:type="dxa"/>
            <w:left w:w="0" w:type="dxa"/>
            <w:bottom w:w="0" w:type="dxa"/>
            <w:right w:w="0" w:type="dxa"/>
          </w:tblCellMar>
        </w:tblPrEx>
        <w:trPr>
          <w:trHeight w:val="300" w:hRule="atLeast"/>
        </w:trPr>
        <w:tc>
          <w:tcPr>
            <w:tcW w:w="31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r>
              <w:rPr>
                <w:rFonts w:hint="eastAsia" w:ascii="宋体" w:hAnsi="宋体" w:cs="宋体"/>
                <w:sz w:val="20"/>
                <w:szCs w:val="20"/>
              </w:rPr>
              <w:t>小计（元）</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sz w:val="20"/>
                <w:szCs w:val="20"/>
              </w:rPr>
            </w:pPr>
          </w:p>
        </w:tc>
      </w:tr>
      <w:tr>
        <w:tblPrEx>
          <w:tblCellMar>
            <w:top w:w="0" w:type="dxa"/>
            <w:left w:w="0" w:type="dxa"/>
            <w:bottom w:w="0" w:type="dxa"/>
            <w:right w:w="0" w:type="dxa"/>
          </w:tblCellMar>
        </w:tblPrEx>
        <w:trPr>
          <w:trHeight w:val="300" w:hRule="atLeast"/>
        </w:trPr>
        <w:tc>
          <w:tcPr>
            <w:tcW w:w="31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r>
              <w:rPr>
                <w:rFonts w:hint="eastAsia" w:ascii="宋体" w:hAnsi="宋体" w:cs="宋体"/>
                <w:sz w:val="20"/>
                <w:szCs w:val="20"/>
              </w:rPr>
              <w:t>暂定金</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50000.00</w:t>
            </w:r>
          </w:p>
        </w:tc>
      </w:tr>
      <w:tr>
        <w:tblPrEx>
          <w:tblCellMar>
            <w:top w:w="0" w:type="dxa"/>
            <w:left w:w="0" w:type="dxa"/>
            <w:bottom w:w="0" w:type="dxa"/>
            <w:right w:w="0" w:type="dxa"/>
          </w:tblCellMar>
        </w:tblPrEx>
        <w:trPr>
          <w:trHeight w:val="92" w:hRule="atLeast"/>
        </w:trPr>
        <w:tc>
          <w:tcPr>
            <w:tcW w:w="31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r>
              <w:rPr>
                <w:rFonts w:hint="eastAsia" w:ascii="宋体" w:hAnsi="宋体" w:cs="宋体"/>
                <w:sz w:val="20"/>
                <w:szCs w:val="20"/>
              </w:rPr>
              <w:t>合计（元）</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r>
    </w:tbl>
    <w:p>
      <w:pPr>
        <w:spacing w:line="360" w:lineRule="auto"/>
      </w:pPr>
    </w:p>
    <w:p>
      <w:pPr>
        <w:spacing w:line="360" w:lineRule="auto"/>
        <w:rPr>
          <w:b/>
          <w:bCs/>
        </w:rPr>
      </w:pPr>
      <w:r>
        <w:rPr>
          <w:rFonts w:hint="eastAsia"/>
        </w:rPr>
        <w:t xml:space="preserve"> 备注： </w:t>
      </w:r>
      <w:r>
        <w:rPr>
          <w:rFonts w:hint="eastAsia" w:ascii="宋体" w:hAnsi="宋体" w:cs="宋体"/>
          <w:b/>
          <w:bCs/>
          <w:sz w:val="20"/>
          <w:szCs w:val="20"/>
        </w:rPr>
        <w:t xml:space="preserve">  “小计（元）”示例：（车损险+第三责任险（100万）+</w:t>
      </w:r>
      <w:r>
        <w:rPr>
          <w:rFonts w:hint="eastAsia" w:ascii="宋体" w:hAnsi="宋体" w:cs="宋体"/>
          <w:b/>
          <w:bCs/>
          <w:kern w:val="0"/>
          <w:sz w:val="20"/>
          <w:szCs w:val="20"/>
        </w:rPr>
        <w:t>车上人员险（驾驶员（10万））</w:t>
      </w:r>
      <w:r>
        <w:rPr>
          <w:rFonts w:hint="eastAsia" w:ascii="宋体" w:hAnsi="宋体" w:cs="宋体"/>
          <w:b/>
          <w:bCs/>
          <w:sz w:val="20"/>
          <w:szCs w:val="20"/>
        </w:rPr>
        <w:t>+</w:t>
      </w:r>
      <w:r>
        <w:rPr>
          <w:rFonts w:hint="eastAsia" w:ascii="宋体" w:hAnsi="宋体" w:cs="宋体"/>
          <w:b/>
          <w:bCs/>
          <w:kern w:val="0"/>
          <w:sz w:val="20"/>
          <w:szCs w:val="20"/>
        </w:rPr>
        <w:t>车上人员险（其他座位1万/人）+交强险</w:t>
      </w:r>
      <w:r>
        <w:rPr>
          <w:rFonts w:hint="eastAsia" w:ascii="宋体" w:hAnsi="宋体" w:cs="宋体"/>
          <w:b/>
          <w:bCs/>
          <w:sz w:val="20"/>
          <w:szCs w:val="20"/>
        </w:rPr>
        <w:t>）*年限</w:t>
      </w:r>
    </w:p>
    <w:p>
      <w:pPr>
        <w:spacing w:line="360" w:lineRule="auto"/>
      </w:pPr>
    </w:p>
    <w:p/>
    <w:p/>
    <w:p/>
    <w:p>
      <w:pPr>
        <w:rPr>
          <w:rFonts w:ascii="Arial" w:hAnsi="Arial"/>
          <w:b/>
          <w:bCs/>
          <w:sz w:val="28"/>
          <w:szCs w:val="28"/>
        </w:rPr>
      </w:pPr>
      <w:r>
        <w:rPr>
          <w:rFonts w:hint="eastAsia"/>
        </w:rPr>
        <w:t>竞标单位</w:t>
      </w:r>
      <w:r>
        <w:rPr>
          <w:rFonts w:hint="eastAsia"/>
          <w:szCs w:val="21"/>
        </w:rPr>
        <w:t>负责人</w:t>
      </w:r>
      <w:r>
        <w:rPr>
          <w:rFonts w:hint="eastAsia"/>
        </w:rPr>
        <w:t>（或授权委托人）签名：</w:t>
      </w:r>
      <w:r>
        <w:rPr>
          <w:rFonts w:hint="eastAsia"/>
          <w:u w:val="single"/>
        </w:rPr>
        <w:t xml:space="preserve">              </w:t>
      </w:r>
      <w:r>
        <w:rPr>
          <w:rFonts w:hint="eastAsia"/>
        </w:rPr>
        <w:t xml:space="preserve">                                                                竞标单位盖章：</w:t>
      </w:r>
      <w:r>
        <w:rPr>
          <w:rFonts w:hint="eastAsia"/>
          <w:u w:val="single"/>
        </w:rPr>
        <w:t xml:space="preserve">               </w:t>
      </w:r>
    </w:p>
    <w:p>
      <w:pPr>
        <w:spacing w:line="440" w:lineRule="exact"/>
        <w:rPr>
          <w:u w:val="single"/>
        </w:rPr>
        <w:sectPr>
          <w:footnotePr>
            <w:numFmt w:val="decimalEnclosedCircleChinese"/>
          </w:footnotePr>
          <w:pgSz w:w="16838" w:h="11906" w:orient="landscape"/>
          <w:pgMar w:top="1134" w:right="567" w:bottom="1134" w:left="567" w:header="851" w:footer="992" w:gutter="0"/>
          <w:cols w:space="0" w:num="1"/>
          <w:docGrid w:type="linesAndChars" w:linePitch="321" w:charSpace="0"/>
        </w:sectPr>
      </w:pPr>
    </w:p>
    <w:p>
      <w:pPr>
        <w:pStyle w:val="2"/>
      </w:pPr>
    </w:p>
    <w:p>
      <w:pPr>
        <w:topLinePunct/>
        <w:spacing w:line="440" w:lineRule="exact"/>
        <w:jc w:val="center"/>
        <w:rPr>
          <w:rFonts w:ascii="Times New Roman" w:hAnsi="Times New Roman" w:eastAsia="黑体" w:cs="Times New Roman"/>
          <w:sz w:val="28"/>
          <w:szCs w:val="28"/>
        </w:rPr>
      </w:pPr>
      <w:bookmarkStart w:id="222" w:name="_Toc23545_WPSOffice_Level1"/>
      <w:bookmarkStart w:id="223" w:name="_Toc10436_WPSOffice_Level1"/>
      <w:bookmarkStart w:id="224" w:name="_Toc7738_WPSOffice_Level1"/>
      <w:bookmarkStart w:id="225" w:name="_Toc31445_WPSOffice_Level1"/>
      <w:bookmarkStart w:id="226" w:name="_Toc8550"/>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227" w:name="_Toc2807_WPSOffice_Level2"/>
      <w:bookmarkStart w:id="228" w:name="_Toc27600_WPSOffice_Level2"/>
      <w:r>
        <w:rPr>
          <w:rFonts w:ascii="Times New Roman" w:hAnsi="Times New Roman" w:eastAsia="黑体" w:cs="Times New Roman"/>
          <w:sz w:val="28"/>
          <w:szCs w:val="28"/>
        </w:rPr>
        <w:t>供应商基本情况</w:t>
      </w:r>
      <w:bookmarkEnd w:id="222"/>
      <w:bookmarkEnd w:id="223"/>
      <w:bookmarkEnd w:id="224"/>
      <w:bookmarkEnd w:id="225"/>
      <w:bookmarkEnd w:id="226"/>
      <w:bookmarkEnd w:id="227"/>
      <w:bookmarkEnd w:id="228"/>
    </w:p>
    <w:p>
      <w:pPr>
        <w:topLinePunct/>
        <w:spacing w:line="440" w:lineRule="exact"/>
        <w:jc w:val="center"/>
        <w:rPr>
          <w:rFonts w:ascii="Times New Roman" w:hAnsi="Times New Roman" w:cs="Times New Roman"/>
          <w:sz w:val="23"/>
          <w:szCs w:val="23"/>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yellow"/>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tabs>
          <w:tab w:val="left" w:pos="3060"/>
        </w:tabs>
        <w:topLinePunct/>
        <w:spacing w:line="440" w:lineRule="exact"/>
        <w:jc w:val="center"/>
        <w:rPr>
          <w:rFonts w:ascii="Times New Roman" w:hAnsi="Times New Roman" w:eastAsia="黑体" w:cs="Times New Roman"/>
          <w:sz w:val="28"/>
          <w:szCs w:val="28"/>
        </w:rPr>
      </w:pPr>
      <w:bookmarkStart w:id="229" w:name="_Toc3772_WPSOffice_Level1"/>
      <w:bookmarkStart w:id="230" w:name="_Toc5072_WPSOffice_Level1"/>
      <w:bookmarkStart w:id="231" w:name="_Toc19004_WPSOffice_Level1"/>
      <w:bookmarkStart w:id="232" w:name="_Toc18547_WPSOffice_Level1"/>
      <w:bookmarkStart w:id="233" w:name="_Toc2158"/>
      <w:r>
        <w:rPr>
          <w:rFonts w:hint="eastAsia" w:ascii="Times New Roman" w:hAnsi="Times New Roman" w:eastAsia="黑体" w:cs="Times New Roman"/>
          <w:sz w:val="28"/>
          <w:szCs w:val="28"/>
        </w:rPr>
        <w:t>五</w:t>
      </w:r>
      <w:r>
        <w:rPr>
          <w:rFonts w:ascii="Times New Roman" w:hAnsi="Times New Roman" w:eastAsia="黑体" w:cs="Times New Roman"/>
          <w:sz w:val="28"/>
          <w:szCs w:val="28"/>
        </w:rPr>
        <w:t>、</w:t>
      </w:r>
      <w:bookmarkEnd w:id="229"/>
      <w:bookmarkEnd w:id="230"/>
      <w:bookmarkEnd w:id="231"/>
      <w:bookmarkEnd w:id="232"/>
      <w:bookmarkStart w:id="234" w:name="_Toc12019_WPSOffice_Level1"/>
      <w:bookmarkStart w:id="235" w:name="_Toc5403_WPSOffice_Level1"/>
      <w:bookmarkStart w:id="236" w:name="_Toc9267_WPSOffice_Level1"/>
      <w:bookmarkStart w:id="237" w:name="_Toc3893_WPSOffice_Level1"/>
      <w:r>
        <w:rPr>
          <w:rFonts w:hint="eastAsia" w:ascii="Times New Roman" w:hAnsi="Times New Roman" w:eastAsia="黑体" w:cs="Times New Roman"/>
          <w:sz w:val="28"/>
          <w:szCs w:val="28"/>
        </w:rPr>
        <w:t>信誉情况</w:t>
      </w:r>
      <w:bookmarkEnd w:id="233"/>
      <w:bookmarkEnd w:id="234"/>
      <w:bookmarkEnd w:id="235"/>
      <w:bookmarkEnd w:id="236"/>
      <w:bookmarkEnd w:id="237"/>
    </w:p>
    <w:p>
      <w:pPr>
        <w:topLinePunct/>
        <w:spacing w:line="440" w:lineRule="exact"/>
        <w:rPr>
          <w:rFonts w:ascii="Times New Roman" w:hAnsi="Times New Roman" w:cs="Times New Roman"/>
          <w:bCs/>
          <w:sz w:val="23"/>
          <w:szCs w:val="23"/>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t>
            </w:r>
            <w:r>
              <w:rPr>
                <w:rFonts w:hint="eastAsia" w:ascii="Times New Roman" w:hAnsi="Times New Roman" w:cs="Times New Roman"/>
                <w:sz w:val="24"/>
                <w:szCs w:val="28"/>
              </w:rPr>
              <w:t>：</w:t>
            </w:r>
            <w:r>
              <w:rPr>
                <w:rFonts w:ascii="Times New Roman" w:hAnsi="Times New Roman" w:cs="Times New Roman"/>
                <w:sz w:val="24"/>
                <w:szCs w:val="28"/>
              </w:rPr>
              <w:t>//www.gsxt.gov.cn）中被列入严重违法失信企业名单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t>
            </w:r>
            <w:r>
              <w:rPr>
                <w:rFonts w:hint="eastAsia" w:ascii="Times New Roman" w:hAnsi="Times New Roman" w:cs="Times New Roman"/>
                <w:sz w:val="24"/>
                <w:szCs w:val="28"/>
              </w:rPr>
              <w:t>：</w:t>
            </w:r>
            <w:r>
              <w:rPr>
                <w:rFonts w:ascii="Times New Roman" w:hAnsi="Times New Roman" w:cs="Times New Roman"/>
                <w:sz w:val="24"/>
                <w:szCs w:val="28"/>
              </w:rPr>
              <w:t>//www.creditchina.gov.cn）中被列入失信被执行人名单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向前追溯3年）供应商或其法定代表人、拟委任的</w:t>
            </w:r>
            <w:r>
              <w:rPr>
                <w:rFonts w:hint="eastAsia" w:ascii="Times New Roman" w:hAnsi="Times New Roman" w:cs="Times New Roman"/>
                <w:sz w:val="24"/>
                <w:szCs w:val="28"/>
              </w:rPr>
              <w:t>项目负责人</w:t>
            </w:r>
            <w:r>
              <w:rPr>
                <w:rFonts w:ascii="Times New Roman" w:hAnsi="Times New Roman" w:cs="Times New Roman"/>
                <w:sz w:val="24"/>
                <w:szCs w:val="28"/>
              </w:rPr>
              <w:t>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jc w:val="center"/>
        <w:rPr>
          <w:rFonts w:ascii="Times New Roman" w:hAnsi="Times New Roman" w:eastAsia="黑体" w:cs="Times New Roman"/>
          <w:sz w:val="28"/>
          <w:szCs w:val="28"/>
        </w:rPr>
      </w:pPr>
      <w:bookmarkStart w:id="238" w:name="_Toc2048_WPSOffice_Level1"/>
      <w:bookmarkStart w:id="239" w:name="_Toc23493_WPSOffice_Level1"/>
      <w:bookmarkStart w:id="240" w:name="_Toc24999_WPSOffice_Level1"/>
      <w:bookmarkStart w:id="241" w:name="_Toc1483_WPSOffice_Level1"/>
      <w:bookmarkStart w:id="242" w:name="_Toc16912"/>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bookmarkEnd w:id="238"/>
      <w:bookmarkEnd w:id="239"/>
      <w:bookmarkEnd w:id="240"/>
      <w:bookmarkEnd w:id="241"/>
      <w:bookmarkStart w:id="243" w:name="_Toc12577"/>
      <w:bookmarkStart w:id="244" w:name="_Toc478049864"/>
      <w:bookmarkStart w:id="245" w:name="_Toc458346237"/>
      <w:bookmarkStart w:id="246" w:name="_Toc478049523"/>
      <w:bookmarkStart w:id="247" w:name="_Toc9241474"/>
      <w:r>
        <w:rPr>
          <w:rFonts w:hint="eastAsia" w:ascii="Times New Roman" w:hAnsi="Times New Roman" w:eastAsia="黑体" w:cs="Times New Roman"/>
          <w:sz w:val="28"/>
          <w:szCs w:val="28"/>
        </w:rPr>
        <w:t>项目服务方案</w:t>
      </w:r>
      <w:bookmarkEnd w:id="242"/>
      <w:bookmarkEnd w:id="243"/>
      <w:bookmarkEnd w:id="244"/>
      <w:bookmarkEnd w:id="245"/>
      <w:bookmarkEnd w:id="246"/>
      <w:bookmarkEnd w:id="247"/>
    </w:p>
    <w:p>
      <w:pPr>
        <w:jc w:val="center"/>
        <w:rPr>
          <w:rFonts w:ascii="黑体" w:hAnsi="黑体"/>
          <w:sz w:val="30"/>
          <w:szCs w:val="30"/>
        </w:rPr>
      </w:pPr>
    </w:p>
    <w:p>
      <w:pPr>
        <w:jc w:val="center"/>
        <w:rPr>
          <w:rFonts w:ascii="宋体" w:hAnsi="宋体"/>
          <w:bCs/>
          <w:sz w:val="24"/>
        </w:rPr>
      </w:pPr>
      <w:r>
        <w:rPr>
          <w:rFonts w:hint="eastAsia" w:ascii="宋体" w:hAnsi="宋体"/>
          <w:bCs/>
          <w:sz w:val="24"/>
        </w:rPr>
        <w:t>竞标人根据本项目采购需求（理赔服务及上门服务承诺等）自行拟写。</w:t>
      </w:r>
    </w:p>
    <w:p>
      <w:pPr>
        <w:spacing w:line="440" w:lineRule="exact"/>
        <w:ind w:firstLine="480" w:firstLineChars="200"/>
        <w:rPr>
          <w:rFonts w:ascii="Times New Roman" w:hAnsi="Times New Roman" w:cs="Times New Roman"/>
          <w:sz w:val="24"/>
        </w:rPr>
      </w:pPr>
    </w:p>
    <w:p>
      <w:pPr>
        <w:numPr>
          <w:ilvl w:val="255"/>
          <w:numId w:val="0"/>
        </w:numPr>
        <w:rPr>
          <w:rFonts w:ascii="Times New Roman" w:hAnsi="Times New Roman" w:cs="Times New Roman"/>
          <w:sz w:val="24"/>
        </w:rPr>
      </w:pPr>
      <w:bookmarkStart w:id="248" w:name="_Toc16609_WPSOffice_Level2"/>
      <w:bookmarkStart w:id="249" w:name="_Toc4794_WPSOffice_Level2"/>
      <w:r>
        <w:rPr>
          <w:rFonts w:ascii="Times New Roman" w:hAnsi="Times New Roman" w:cs="Times New Roman"/>
          <w:sz w:val="24"/>
        </w:rPr>
        <w:br w:type="page"/>
      </w:r>
    </w:p>
    <w:bookmarkEnd w:id="248"/>
    <w:bookmarkEnd w:id="249"/>
    <w:p>
      <w:pPr>
        <w:spacing w:line="440" w:lineRule="exact"/>
        <w:jc w:val="center"/>
        <w:rPr>
          <w:rFonts w:ascii="Times New Roman" w:hAnsi="Times New Roman" w:eastAsia="黑体" w:cs="Times New Roman"/>
          <w:sz w:val="28"/>
          <w:szCs w:val="28"/>
        </w:rPr>
      </w:pPr>
      <w:bookmarkStart w:id="250" w:name="_Toc22303_WPSOffice_Level1"/>
      <w:bookmarkStart w:id="251" w:name="_Toc27244"/>
      <w:bookmarkStart w:id="252" w:name="_Toc15887_WPSOffice_Level1"/>
      <w:bookmarkStart w:id="253" w:name="_Toc13165_WPSOffice_Level1"/>
      <w:bookmarkStart w:id="254" w:name="_Toc2428_WPSOffice_Level1"/>
      <w:r>
        <w:rPr>
          <w:rFonts w:hint="eastAsia" w:ascii="Times New Roman" w:hAnsi="Times New Roman" w:eastAsia="黑体" w:cs="Times New Roman"/>
          <w:sz w:val="28"/>
          <w:szCs w:val="28"/>
        </w:rPr>
        <w:t>七</w:t>
      </w:r>
      <w:r>
        <w:rPr>
          <w:rFonts w:ascii="Times New Roman" w:hAnsi="Times New Roman" w:eastAsia="黑体" w:cs="Times New Roman"/>
          <w:sz w:val="28"/>
          <w:szCs w:val="28"/>
        </w:rPr>
        <w:t>、其它</w:t>
      </w:r>
      <w:bookmarkEnd w:id="250"/>
      <w:r>
        <w:rPr>
          <w:rFonts w:ascii="Times New Roman" w:hAnsi="Times New Roman" w:eastAsia="黑体" w:cs="Times New Roman"/>
          <w:sz w:val="28"/>
          <w:szCs w:val="28"/>
        </w:rPr>
        <w:t>材料</w:t>
      </w:r>
      <w:bookmarkEnd w:id="251"/>
      <w:bookmarkEnd w:id="252"/>
      <w:bookmarkEnd w:id="253"/>
      <w:bookmarkEnd w:id="254"/>
    </w:p>
    <w:p>
      <w:pPr>
        <w:pStyle w:val="26"/>
        <w:rPr>
          <w:rFonts w:hint="default" w:ascii="Times New Roman" w:hAnsi="Times New Roman"/>
          <w:color w:val="auto"/>
          <w:szCs w:val="28"/>
        </w:rPr>
      </w:pPr>
    </w:p>
    <w:p>
      <w:pPr>
        <w:spacing w:line="440" w:lineRule="exact"/>
        <w:jc w:val="left"/>
        <w:rPr>
          <w:rFonts w:ascii="Times New Roman" w:hAnsi="Times New Roman" w:eastAsia="黑体" w:cs="Times New Roman"/>
          <w:sz w:val="24"/>
        </w:rPr>
      </w:pPr>
      <w:r>
        <w:rPr>
          <w:rFonts w:hint="eastAsia" w:ascii="Times New Roman" w:hAnsi="Times New Roman" w:eastAsia="黑体" w:cs="Times New Roman"/>
          <w:sz w:val="24"/>
        </w:rPr>
        <w:t>1.代理费用确认函 (格式)</w:t>
      </w:r>
    </w:p>
    <w:p>
      <w:pPr>
        <w:jc w:val="center"/>
        <w:rPr>
          <w:rFonts w:ascii="黑体" w:hAnsi="黑体"/>
          <w:b/>
          <w:sz w:val="30"/>
          <w:szCs w:val="30"/>
        </w:rPr>
      </w:pPr>
      <w:r>
        <w:rPr>
          <w:rFonts w:hint="eastAsia" w:ascii="黑体" w:hAnsi="黑体"/>
          <w:b/>
          <w:sz w:val="30"/>
          <w:szCs w:val="30"/>
        </w:rPr>
        <w:t>代理费用确认函</w:t>
      </w:r>
    </w:p>
    <w:p>
      <w:pPr>
        <w:pStyle w:val="7"/>
        <w:jc w:val="center"/>
        <w:rPr>
          <w:b/>
          <w:bCs/>
          <w:sz w:val="28"/>
          <w:szCs w:val="28"/>
        </w:rPr>
      </w:pPr>
      <w:r>
        <w:rPr>
          <w:rFonts w:hint="eastAsia"/>
          <w:b/>
          <w:bCs/>
          <w:sz w:val="28"/>
          <w:szCs w:val="28"/>
        </w:rPr>
        <w:t xml:space="preserve"> (格式)</w:t>
      </w:r>
    </w:p>
    <w:p>
      <w:pPr>
        <w:pStyle w:val="26"/>
        <w:rPr>
          <w:rFonts w:hint="default" w:ascii="宋体" w:hAnsi="宋体"/>
          <w:bCs/>
          <w:color w:val="auto"/>
          <w:szCs w:val="24"/>
        </w:rPr>
      </w:pPr>
    </w:p>
    <w:p>
      <w:pPr>
        <w:pStyle w:val="7"/>
        <w:spacing w:line="360" w:lineRule="auto"/>
        <w:ind w:firstLine="0"/>
        <w:rPr>
          <w:b/>
          <w:bCs/>
          <w:sz w:val="24"/>
          <w:szCs w:val="24"/>
        </w:rPr>
      </w:pPr>
    </w:p>
    <w:p>
      <w:pPr>
        <w:pStyle w:val="7"/>
        <w:spacing w:line="360" w:lineRule="auto"/>
        <w:ind w:firstLine="0"/>
        <w:rPr>
          <w:b/>
          <w:bCs/>
          <w:sz w:val="24"/>
          <w:szCs w:val="24"/>
        </w:rPr>
      </w:pPr>
      <w:bookmarkStart w:id="255" w:name="_Toc19774"/>
      <w:r>
        <w:rPr>
          <w:rFonts w:hint="eastAsia"/>
          <w:b/>
          <w:bCs/>
          <w:sz w:val="24"/>
          <w:szCs w:val="24"/>
        </w:rPr>
        <w:t>安徽皖运保险代理有限公司：</w:t>
      </w:r>
      <w:bookmarkEnd w:id="255"/>
    </w:p>
    <w:p>
      <w:pPr>
        <w:spacing w:line="360" w:lineRule="auto"/>
        <w:ind w:firstLine="600" w:firstLineChars="250"/>
        <w:rPr>
          <w:bCs/>
          <w:sz w:val="24"/>
        </w:rPr>
      </w:pPr>
      <w:r>
        <w:rPr>
          <w:rFonts w:hint="eastAsia"/>
          <w:bCs/>
          <w:sz w:val="24"/>
        </w:rPr>
        <w:t>关于“</w:t>
      </w:r>
      <w:r>
        <w:rPr>
          <w:rFonts w:hint="eastAsia" w:ascii="宋体" w:hAnsi="宋体"/>
          <w:sz w:val="24"/>
        </w:rPr>
        <w:t>2021-2023年度养管中心车辆保险服务</w:t>
      </w:r>
      <w:r>
        <w:rPr>
          <w:rFonts w:hint="eastAsia"/>
          <w:bCs/>
          <w:sz w:val="24"/>
        </w:rPr>
        <w:t>”</w:t>
      </w:r>
      <w:r>
        <w:rPr>
          <w:rFonts w:hint="eastAsia" w:ascii="宋体" w:hAnsi="宋体"/>
          <w:sz w:val="24"/>
        </w:rPr>
        <w:t>项目</w:t>
      </w:r>
      <w:r>
        <w:rPr>
          <w:rFonts w:hint="eastAsia"/>
          <w:bCs/>
          <w:sz w:val="24"/>
        </w:rPr>
        <w:t>的代理手续费，我公司承诺:</w:t>
      </w:r>
    </w:p>
    <w:p>
      <w:pPr>
        <w:pStyle w:val="20"/>
        <w:spacing w:line="360" w:lineRule="auto"/>
        <w:ind w:left="0" w:leftChars="0" w:firstLine="480"/>
        <w:rPr>
          <w:sz w:val="24"/>
          <w:szCs w:val="24"/>
        </w:rPr>
      </w:pPr>
      <w:r>
        <w:rPr>
          <w:rFonts w:hint="eastAsia"/>
          <w:sz w:val="24"/>
          <w:szCs w:val="24"/>
        </w:rPr>
        <w:t>按报价清单车辆商业险净保费的</w:t>
      </w:r>
      <w:r>
        <w:rPr>
          <w:rFonts w:hint="eastAsia"/>
          <w:sz w:val="24"/>
          <w:szCs w:val="24"/>
          <w:u w:val="single"/>
        </w:rPr>
        <w:t xml:space="preserve">     %</w:t>
      </w:r>
      <w:r>
        <w:rPr>
          <w:rFonts w:hint="eastAsia"/>
          <w:sz w:val="24"/>
          <w:szCs w:val="24"/>
        </w:rPr>
        <w:t>确认代理手续费费。每半年结算一次。</w:t>
      </w:r>
    </w:p>
    <w:p>
      <w:pPr>
        <w:pStyle w:val="20"/>
        <w:spacing w:line="360" w:lineRule="auto"/>
        <w:ind w:left="0" w:leftChars="0" w:firstLine="0" w:firstLineChars="0"/>
        <w:rPr>
          <w:rFonts w:ascii="黑体" w:hAnsi="黑体"/>
          <w:b/>
          <w:sz w:val="24"/>
          <w:szCs w:val="24"/>
        </w:rPr>
      </w:pPr>
      <w:r>
        <w:rPr>
          <w:rFonts w:hint="eastAsia"/>
          <w:sz w:val="24"/>
          <w:szCs w:val="24"/>
        </w:rPr>
        <w:t xml:space="preserve">  </w:t>
      </w:r>
    </w:p>
    <w:p>
      <w:pPr>
        <w:pStyle w:val="20"/>
        <w:spacing w:line="360" w:lineRule="auto"/>
        <w:ind w:firstLine="480"/>
        <w:rPr>
          <w:sz w:val="24"/>
          <w:szCs w:val="24"/>
        </w:rPr>
      </w:pPr>
    </w:p>
    <w:p>
      <w:pPr>
        <w:pStyle w:val="20"/>
        <w:spacing w:line="360" w:lineRule="auto"/>
        <w:ind w:leftChars="0" w:firstLine="4440" w:firstLineChars="1850"/>
        <w:rPr>
          <w:sz w:val="24"/>
          <w:szCs w:val="24"/>
        </w:rPr>
      </w:pPr>
      <w:r>
        <w:rPr>
          <w:rFonts w:hint="eastAsia"/>
          <w:sz w:val="24"/>
          <w:szCs w:val="24"/>
        </w:rPr>
        <w:t>竞标单位名称：（公章）</w:t>
      </w:r>
    </w:p>
    <w:p>
      <w:pPr>
        <w:pStyle w:val="20"/>
        <w:spacing w:line="360" w:lineRule="auto"/>
        <w:ind w:firstLine="4320" w:firstLineChars="1800"/>
        <w:rPr>
          <w:sz w:val="24"/>
          <w:szCs w:val="24"/>
        </w:rPr>
      </w:pPr>
      <w:r>
        <w:rPr>
          <w:rFonts w:hint="eastAsia"/>
          <w:sz w:val="24"/>
          <w:szCs w:val="24"/>
        </w:rPr>
        <w:t>日期：2021年   月   日</w:t>
      </w:r>
    </w:p>
    <w:p>
      <w:pPr>
        <w:spacing w:line="440" w:lineRule="exact"/>
        <w:jc w:val="left"/>
        <w:rPr>
          <w:rFonts w:ascii="Times New Roman" w:hAnsi="Times New Roman" w:eastAsia="黑体" w:cs="Times New Roman"/>
          <w:sz w:val="24"/>
        </w:rPr>
      </w:pPr>
    </w:p>
    <w:p>
      <w:pPr>
        <w:spacing w:line="440" w:lineRule="exact"/>
        <w:jc w:val="left"/>
        <w:rPr>
          <w:rFonts w:hint="eastAsia" w:ascii="Times New Roman" w:hAnsi="Times New Roman" w:eastAsia="黑体" w:cs="Times New Roman"/>
          <w:sz w:val="28"/>
          <w:szCs w:val="28"/>
        </w:rPr>
      </w:pPr>
    </w:p>
    <w:p>
      <w:pPr>
        <w:pStyle w:val="2"/>
        <w:ind w:left="630" w:hanging="630" w:hangingChars="300"/>
        <w:rPr>
          <w:rFonts w:hint="eastAsia"/>
        </w:rPr>
      </w:pPr>
      <w:r>
        <w:rPr>
          <w:rFonts w:hint="eastAsia"/>
        </w:rPr>
        <w:t>备注: 安徽皖运保险代理有限公司按照中国银保监会安徽监管局相关文件标准收取保险代理手续费,各供应商需严格按照以上代理费用确认函 (格式)要求填写。</w:t>
      </w:r>
    </w:p>
    <w:p>
      <w:pPr>
        <w:pStyle w:val="2"/>
      </w:pPr>
    </w:p>
    <w:p>
      <w:pPr>
        <w:spacing w:line="440" w:lineRule="exact"/>
        <w:jc w:val="left"/>
        <w:rPr>
          <w:rFonts w:ascii="Times New Roman" w:hAnsi="Times New Roman" w:eastAsia="黑体" w:cs="Times New Roman"/>
          <w:sz w:val="24"/>
        </w:rPr>
      </w:pPr>
      <w:r>
        <w:rPr>
          <w:rFonts w:hint="eastAsia" w:ascii="Times New Roman" w:hAnsi="Times New Roman" w:eastAsia="黑体" w:cs="Times New Roman"/>
          <w:sz w:val="24"/>
        </w:rPr>
        <w:t>2.竞标人认为需要提供的其它相关材料。</w:t>
      </w:r>
    </w:p>
    <w:sectPr>
      <w:headerReference r:id="rId4" w:type="default"/>
      <w:footerReference r:id="rId5"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jc w:val="center"/>
                </w:pPr>
                <w:r>
                  <w:fldChar w:fldCharType="begin"/>
                </w:r>
                <w:r>
                  <w:rPr>
                    <w:rStyle w:val="23"/>
                  </w:rPr>
                  <w:instrText xml:space="preserve"> PAGE </w:instrText>
                </w:r>
                <w:r>
                  <w:fldChar w:fldCharType="separate"/>
                </w:r>
                <w:r>
                  <w:rPr>
                    <w:rStyle w:val="23"/>
                  </w:rPr>
                  <w:t>35</w:t>
                </w:r>
                <w:r>
                  <w:fldChar w:fldCharType="end"/>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joinstyle="miter"/>
          <v:imagedata o:title=""/>
          <o:lock v:ext="edit"/>
          <v:textbox inset="0mm,0mm,0mm,0mm" style="mso-fit-shape-to-text:t;">
            <w:txbxContent>
              <w:p>
                <w:pPr>
                  <w:pStyle w:val="14"/>
                  <w:ind w:firstLine="360"/>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0"/>
  <w:displayVerticalDrawingGridEvery w:val="2"/>
  <w:noPunctuationKerning w:val="1"/>
  <w:characterSpacingControl w:val="compressPunctuation"/>
  <w:hdrShapeDefaults>
    <o:shapelayout v:ext="edit">
      <o:idmap v:ext="edit" data="1"/>
    </o:shapelayout>
  </w:hdrShapeDefaults>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5188"/>
    <w:rsid w:val="000B194C"/>
    <w:rsid w:val="00126DE8"/>
    <w:rsid w:val="001659E6"/>
    <w:rsid w:val="0017232A"/>
    <w:rsid w:val="001A08D9"/>
    <w:rsid w:val="00286930"/>
    <w:rsid w:val="00375A23"/>
    <w:rsid w:val="003874DB"/>
    <w:rsid w:val="003C6A6E"/>
    <w:rsid w:val="00466F51"/>
    <w:rsid w:val="004932B8"/>
    <w:rsid w:val="0049645A"/>
    <w:rsid w:val="00512041"/>
    <w:rsid w:val="005B1C62"/>
    <w:rsid w:val="005D53A1"/>
    <w:rsid w:val="00600416"/>
    <w:rsid w:val="006A6439"/>
    <w:rsid w:val="006D52AA"/>
    <w:rsid w:val="00774C23"/>
    <w:rsid w:val="007F0E50"/>
    <w:rsid w:val="00885103"/>
    <w:rsid w:val="00A31DD7"/>
    <w:rsid w:val="00A31E9F"/>
    <w:rsid w:val="00AE1115"/>
    <w:rsid w:val="00AF0DA2"/>
    <w:rsid w:val="00B2304E"/>
    <w:rsid w:val="00B56F3C"/>
    <w:rsid w:val="00D01FF1"/>
    <w:rsid w:val="00D50D2B"/>
    <w:rsid w:val="00D603E1"/>
    <w:rsid w:val="00D6667B"/>
    <w:rsid w:val="00D704E7"/>
    <w:rsid w:val="00E13F75"/>
    <w:rsid w:val="00F43DE7"/>
    <w:rsid w:val="00F45188"/>
    <w:rsid w:val="00F64107"/>
    <w:rsid w:val="00F83C16"/>
    <w:rsid w:val="00FA1044"/>
    <w:rsid w:val="00FD2626"/>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D4448"/>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2FA6436"/>
    <w:rsid w:val="031402A0"/>
    <w:rsid w:val="03530EF0"/>
    <w:rsid w:val="03666726"/>
    <w:rsid w:val="036A6013"/>
    <w:rsid w:val="036B0042"/>
    <w:rsid w:val="037A7E58"/>
    <w:rsid w:val="03921536"/>
    <w:rsid w:val="03957CCA"/>
    <w:rsid w:val="03DE6BBF"/>
    <w:rsid w:val="03EA0F31"/>
    <w:rsid w:val="03EC548F"/>
    <w:rsid w:val="03FB6B06"/>
    <w:rsid w:val="04233E93"/>
    <w:rsid w:val="04295DA0"/>
    <w:rsid w:val="04331458"/>
    <w:rsid w:val="04352FAD"/>
    <w:rsid w:val="04533F12"/>
    <w:rsid w:val="046B7205"/>
    <w:rsid w:val="047B3AB4"/>
    <w:rsid w:val="047C0CFA"/>
    <w:rsid w:val="047C234D"/>
    <w:rsid w:val="048328A9"/>
    <w:rsid w:val="04946E66"/>
    <w:rsid w:val="04A61CAB"/>
    <w:rsid w:val="04B66E9B"/>
    <w:rsid w:val="04DF02F5"/>
    <w:rsid w:val="04EA65EC"/>
    <w:rsid w:val="04F54297"/>
    <w:rsid w:val="04F76AAC"/>
    <w:rsid w:val="04F95D73"/>
    <w:rsid w:val="050022AA"/>
    <w:rsid w:val="05162632"/>
    <w:rsid w:val="05474D67"/>
    <w:rsid w:val="057351EA"/>
    <w:rsid w:val="057E13D8"/>
    <w:rsid w:val="059761EF"/>
    <w:rsid w:val="059F2433"/>
    <w:rsid w:val="05A12F8F"/>
    <w:rsid w:val="05B16949"/>
    <w:rsid w:val="05C614B1"/>
    <w:rsid w:val="05CA23AA"/>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93A33"/>
    <w:rsid w:val="06EE5449"/>
    <w:rsid w:val="071D3AEF"/>
    <w:rsid w:val="071F775B"/>
    <w:rsid w:val="0725414F"/>
    <w:rsid w:val="073E4D0F"/>
    <w:rsid w:val="07914D92"/>
    <w:rsid w:val="07C93DD2"/>
    <w:rsid w:val="07F10BD9"/>
    <w:rsid w:val="07F33261"/>
    <w:rsid w:val="07FB3039"/>
    <w:rsid w:val="07FC2047"/>
    <w:rsid w:val="080A4F8B"/>
    <w:rsid w:val="081D312D"/>
    <w:rsid w:val="08290DFC"/>
    <w:rsid w:val="082D031A"/>
    <w:rsid w:val="083227D0"/>
    <w:rsid w:val="083E61F6"/>
    <w:rsid w:val="08441F41"/>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C61E9D"/>
    <w:rsid w:val="09C83543"/>
    <w:rsid w:val="09EC3543"/>
    <w:rsid w:val="0A017749"/>
    <w:rsid w:val="0A31325F"/>
    <w:rsid w:val="0A433EA3"/>
    <w:rsid w:val="0A4C0A53"/>
    <w:rsid w:val="0A562E5C"/>
    <w:rsid w:val="0A6D4428"/>
    <w:rsid w:val="0A70103F"/>
    <w:rsid w:val="0A830A8F"/>
    <w:rsid w:val="0ADB488F"/>
    <w:rsid w:val="0ADF4740"/>
    <w:rsid w:val="0AF404CA"/>
    <w:rsid w:val="0B226B71"/>
    <w:rsid w:val="0B237F0C"/>
    <w:rsid w:val="0B25655D"/>
    <w:rsid w:val="0B3B41A4"/>
    <w:rsid w:val="0B466158"/>
    <w:rsid w:val="0B6410C4"/>
    <w:rsid w:val="0B765704"/>
    <w:rsid w:val="0B7D0BA2"/>
    <w:rsid w:val="0B831417"/>
    <w:rsid w:val="0B976282"/>
    <w:rsid w:val="0BAA092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643C93"/>
    <w:rsid w:val="0D840310"/>
    <w:rsid w:val="0D935001"/>
    <w:rsid w:val="0DA75F7E"/>
    <w:rsid w:val="0DCD7C8D"/>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B81B5B"/>
    <w:rsid w:val="0FD00E8A"/>
    <w:rsid w:val="10090199"/>
    <w:rsid w:val="10337DDD"/>
    <w:rsid w:val="103656D1"/>
    <w:rsid w:val="103C7917"/>
    <w:rsid w:val="10564A8B"/>
    <w:rsid w:val="1058602D"/>
    <w:rsid w:val="10795C93"/>
    <w:rsid w:val="108B3AFA"/>
    <w:rsid w:val="10B15280"/>
    <w:rsid w:val="10D50461"/>
    <w:rsid w:val="10E24CD8"/>
    <w:rsid w:val="10F15163"/>
    <w:rsid w:val="10F26CDC"/>
    <w:rsid w:val="11163C77"/>
    <w:rsid w:val="1139732F"/>
    <w:rsid w:val="114A7510"/>
    <w:rsid w:val="114C67B8"/>
    <w:rsid w:val="115A53BC"/>
    <w:rsid w:val="11696085"/>
    <w:rsid w:val="117A2D8F"/>
    <w:rsid w:val="118E75B9"/>
    <w:rsid w:val="1194155A"/>
    <w:rsid w:val="1196783A"/>
    <w:rsid w:val="119C1623"/>
    <w:rsid w:val="11AB3509"/>
    <w:rsid w:val="11B5299E"/>
    <w:rsid w:val="11E52624"/>
    <w:rsid w:val="11E8124D"/>
    <w:rsid w:val="11F9333E"/>
    <w:rsid w:val="11FE31AD"/>
    <w:rsid w:val="121466AA"/>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1B210C"/>
    <w:rsid w:val="162117F2"/>
    <w:rsid w:val="162702DD"/>
    <w:rsid w:val="163D38BD"/>
    <w:rsid w:val="164432FC"/>
    <w:rsid w:val="166867F9"/>
    <w:rsid w:val="16746A12"/>
    <w:rsid w:val="16763172"/>
    <w:rsid w:val="167E2633"/>
    <w:rsid w:val="168431DE"/>
    <w:rsid w:val="168C763B"/>
    <w:rsid w:val="1690501F"/>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6B4C2E"/>
    <w:rsid w:val="17912DBB"/>
    <w:rsid w:val="179E2BB2"/>
    <w:rsid w:val="17A31E57"/>
    <w:rsid w:val="17A41A09"/>
    <w:rsid w:val="17BE7705"/>
    <w:rsid w:val="17DE1931"/>
    <w:rsid w:val="17E43CA4"/>
    <w:rsid w:val="17EE1688"/>
    <w:rsid w:val="1803234F"/>
    <w:rsid w:val="181F7B0D"/>
    <w:rsid w:val="184D7361"/>
    <w:rsid w:val="18611ADF"/>
    <w:rsid w:val="18660D83"/>
    <w:rsid w:val="188F0361"/>
    <w:rsid w:val="18A34D8C"/>
    <w:rsid w:val="18AD0BE1"/>
    <w:rsid w:val="18B619A6"/>
    <w:rsid w:val="18BB43F9"/>
    <w:rsid w:val="18BD2A66"/>
    <w:rsid w:val="18C13AC1"/>
    <w:rsid w:val="18C35CB9"/>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5039A9"/>
    <w:rsid w:val="1D670B14"/>
    <w:rsid w:val="1D924EB5"/>
    <w:rsid w:val="1D9A11BD"/>
    <w:rsid w:val="1D9F65B1"/>
    <w:rsid w:val="1DA002EB"/>
    <w:rsid w:val="1DD7785D"/>
    <w:rsid w:val="1DE0242C"/>
    <w:rsid w:val="1DE02E8C"/>
    <w:rsid w:val="1DFB418B"/>
    <w:rsid w:val="1E1510B3"/>
    <w:rsid w:val="1E1B06D7"/>
    <w:rsid w:val="1E1D003B"/>
    <w:rsid w:val="1E2A636A"/>
    <w:rsid w:val="1E2B5895"/>
    <w:rsid w:val="1E3F71AC"/>
    <w:rsid w:val="1E407FC7"/>
    <w:rsid w:val="1E484768"/>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D6398"/>
    <w:rsid w:val="21C614F6"/>
    <w:rsid w:val="21D57E5D"/>
    <w:rsid w:val="220B38D3"/>
    <w:rsid w:val="220F27AB"/>
    <w:rsid w:val="22282E99"/>
    <w:rsid w:val="223029AE"/>
    <w:rsid w:val="224B1241"/>
    <w:rsid w:val="22565E31"/>
    <w:rsid w:val="226C24D9"/>
    <w:rsid w:val="227540C8"/>
    <w:rsid w:val="22C438D9"/>
    <w:rsid w:val="22C90127"/>
    <w:rsid w:val="22D008F7"/>
    <w:rsid w:val="22D42D6B"/>
    <w:rsid w:val="22DF5D82"/>
    <w:rsid w:val="22FD581D"/>
    <w:rsid w:val="231A6446"/>
    <w:rsid w:val="23200D04"/>
    <w:rsid w:val="23252F62"/>
    <w:rsid w:val="2329015A"/>
    <w:rsid w:val="233D41F6"/>
    <w:rsid w:val="233E1D9D"/>
    <w:rsid w:val="235A23F9"/>
    <w:rsid w:val="23690BF3"/>
    <w:rsid w:val="238A746E"/>
    <w:rsid w:val="23D003FB"/>
    <w:rsid w:val="23E06FF0"/>
    <w:rsid w:val="23F26B67"/>
    <w:rsid w:val="24321DFA"/>
    <w:rsid w:val="24530C8F"/>
    <w:rsid w:val="24636547"/>
    <w:rsid w:val="24717D47"/>
    <w:rsid w:val="249C788A"/>
    <w:rsid w:val="24B82B32"/>
    <w:rsid w:val="24BB6D5B"/>
    <w:rsid w:val="24DC6375"/>
    <w:rsid w:val="24EF143A"/>
    <w:rsid w:val="24F755BB"/>
    <w:rsid w:val="24FA5375"/>
    <w:rsid w:val="25167458"/>
    <w:rsid w:val="251E581D"/>
    <w:rsid w:val="252A368C"/>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9408C3"/>
    <w:rsid w:val="26A244E0"/>
    <w:rsid w:val="26AF5A72"/>
    <w:rsid w:val="26BE55EA"/>
    <w:rsid w:val="26C35476"/>
    <w:rsid w:val="26C762DB"/>
    <w:rsid w:val="26DC20E5"/>
    <w:rsid w:val="26F97745"/>
    <w:rsid w:val="270E3585"/>
    <w:rsid w:val="274B353E"/>
    <w:rsid w:val="27524FD4"/>
    <w:rsid w:val="275319F4"/>
    <w:rsid w:val="27564695"/>
    <w:rsid w:val="27613BAA"/>
    <w:rsid w:val="276A2C20"/>
    <w:rsid w:val="276E6872"/>
    <w:rsid w:val="278E3101"/>
    <w:rsid w:val="27941CFF"/>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B2E5B"/>
    <w:rsid w:val="2A37472F"/>
    <w:rsid w:val="2A3A63BF"/>
    <w:rsid w:val="2A411009"/>
    <w:rsid w:val="2A48150B"/>
    <w:rsid w:val="2A4C0A1A"/>
    <w:rsid w:val="2A4C6A3D"/>
    <w:rsid w:val="2A633D38"/>
    <w:rsid w:val="2A655AFF"/>
    <w:rsid w:val="2A715DEA"/>
    <w:rsid w:val="2A8820A5"/>
    <w:rsid w:val="2A97631D"/>
    <w:rsid w:val="2AB4054B"/>
    <w:rsid w:val="2AB843C9"/>
    <w:rsid w:val="2AD307BD"/>
    <w:rsid w:val="2AFE46B0"/>
    <w:rsid w:val="2B073FBC"/>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0DB3E31"/>
    <w:rsid w:val="31130579"/>
    <w:rsid w:val="31150AF7"/>
    <w:rsid w:val="312977F5"/>
    <w:rsid w:val="3140510D"/>
    <w:rsid w:val="31490B16"/>
    <w:rsid w:val="31500AF0"/>
    <w:rsid w:val="31606BA9"/>
    <w:rsid w:val="31680777"/>
    <w:rsid w:val="317B5137"/>
    <w:rsid w:val="31B173FD"/>
    <w:rsid w:val="31B535AF"/>
    <w:rsid w:val="31EA44FA"/>
    <w:rsid w:val="31F304A6"/>
    <w:rsid w:val="32091243"/>
    <w:rsid w:val="32294765"/>
    <w:rsid w:val="327E7CD9"/>
    <w:rsid w:val="32B56E69"/>
    <w:rsid w:val="32F445A5"/>
    <w:rsid w:val="32FC5FC6"/>
    <w:rsid w:val="330F4401"/>
    <w:rsid w:val="331E1E02"/>
    <w:rsid w:val="33353215"/>
    <w:rsid w:val="33435036"/>
    <w:rsid w:val="33472431"/>
    <w:rsid w:val="335D7B29"/>
    <w:rsid w:val="336B0B61"/>
    <w:rsid w:val="338C3ABE"/>
    <w:rsid w:val="33A867A1"/>
    <w:rsid w:val="33BE0CB2"/>
    <w:rsid w:val="33C02706"/>
    <w:rsid w:val="33D21CA6"/>
    <w:rsid w:val="33F133C2"/>
    <w:rsid w:val="33F943AC"/>
    <w:rsid w:val="341548E7"/>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94654"/>
    <w:rsid w:val="351C58FB"/>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BC741E"/>
    <w:rsid w:val="37DD1744"/>
    <w:rsid w:val="37F25243"/>
    <w:rsid w:val="380255AF"/>
    <w:rsid w:val="381821B2"/>
    <w:rsid w:val="38333626"/>
    <w:rsid w:val="384E441A"/>
    <w:rsid w:val="38506C2F"/>
    <w:rsid w:val="38803B23"/>
    <w:rsid w:val="38877CF7"/>
    <w:rsid w:val="38961914"/>
    <w:rsid w:val="38AD1080"/>
    <w:rsid w:val="38AF3010"/>
    <w:rsid w:val="38D822E9"/>
    <w:rsid w:val="38DD6A3B"/>
    <w:rsid w:val="38E03474"/>
    <w:rsid w:val="38E2286A"/>
    <w:rsid w:val="38E32D4B"/>
    <w:rsid w:val="38E94228"/>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F06CC1"/>
    <w:rsid w:val="3B183E18"/>
    <w:rsid w:val="3B215631"/>
    <w:rsid w:val="3B2D6711"/>
    <w:rsid w:val="3B39043C"/>
    <w:rsid w:val="3B51309B"/>
    <w:rsid w:val="3B7B6916"/>
    <w:rsid w:val="3B883403"/>
    <w:rsid w:val="3B954F85"/>
    <w:rsid w:val="3B9C0E95"/>
    <w:rsid w:val="3BA96A60"/>
    <w:rsid w:val="3BBD0AD4"/>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2048C2"/>
    <w:rsid w:val="3E28471D"/>
    <w:rsid w:val="3E42659A"/>
    <w:rsid w:val="3E4C632F"/>
    <w:rsid w:val="3E5E3BF8"/>
    <w:rsid w:val="3E5F70CE"/>
    <w:rsid w:val="3E610DA9"/>
    <w:rsid w:val="3E645172"/>
    <w:rsid w:val="3E701062"/>
    <w:rsid w:val="3E77442B"/>
    <w:rsid w:val="3EAC39B4"/>
    <w:rsid w:val="3EC11BF7"/>
    <w:rsid w:val="3EF169DA"/>
    <w:rsid w:val="3EF93089"/>
    <w:rsid w:val="3F0E4239"/>
    <w:rsid w:val="3F127531"/>
    <w:rsid w:val="3F2B4E96"/>
    <w:rsid w:val="3F3A7BF4"/>
    <w:rsid w:val="3F507482"/>
    <w:rsid w:val="3F5661ED"/>
    <w:rsid w:val="3F5C181E"/>
    <w:rsid w:val="3F6263C0"/>
    <w:rsid w:val="3F700303"/>
    <w:rsid w:val="3F755AF4"/>
    <w:rsid w:val="3F7A035D"/>
    <w:rsid w:val="3F7A4AAC"/>
    <w:rsid w:val="3F7F2AED"/>
    <w:rsid w:val="3F8568C6"/>
    <w:rsid w:val="3F895D56"/>
    <w:rsid w:val="3F8F2E1C"/>
    <w:rsid w:val="3FAF7F99"/>
    <w:rsid w:val="3FBE325D"/>
    <w:rsid w:val="3FC24EFB"/>
    <w:rsid w:val="3FC42D5D"/>
    <w:rsid w:val="3FC470DF"/>
    <w:rsid w:val="3FCA3DF3"/>
    <w:rsid w:val="3FDD44BD"/>
    <w:rsid w:val="3FEE70B9"/>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3FD3E3E"/>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836B41"/>
    <w:rsid w:val="45BA3A93"/>
    <w:rsid w:val="45D32B9D"/>
    <w:rsid w:val="45D51F09"/>
    <w:rsid w:val="45E335B5"/>
    <w:rsid w:val="46072FDC"/>
    <w:rsid w:val="460B44C8"/>
    <w:rsid w:val="46136A51"/>
    <w:rsid w:val="46144FA7"/>
    <w:rsid w:val="461F3C01"/>
    <w:rsid w:val="462D4AD7"/>
    <w:rsid w:val="463E6D3E"/>
    <w:rsid w:val="46566AA9"/>
    <w:rsid w:val="46661558"/>
    <w:rsid w:val="466758BA"/>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D17B15"/>
    <w:rsid w:val="48F814A8"/>
    <w:rsid w:val="491171A1"/>
    <w:rsid w:val="4927647B"/>
    <w:rsid w:val="492C5797"/>
    <w:rsid w:val="495F48E7"/>
    <w:rsid w:val="49804F41"/>
    <w:rsid w:val="499C2D6D"/>
    <w:rsid w:val="49BF7880"/>
    <w:rsid w:val="49C82B49"/>
    <w:rsid w:val="49D56C49"/>
    <w:rsid w:val="49D855C7"/>
    <w:rsid w:val="49EC4258"/>
    <w:rsid w:val="49F80512"/>
    <w:rsid w:val="4A21436D"/>
    <w:rsid w:val="4A263F01"/>
    <w:rsid w:val="4A4658CB"/>
    <w:rsid w:val="4A4C1CC9"/>
    <w:rsid w:val="4A7F1D52"/>
    <w:rsid w:val="4A854E3F"/>
    <w:rsid w:val="4AAB146E"/>
    <w:rsid w:val="4ACB02F6"/>
    <w:rsid w:val="4ADE69F3"/>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C36C1F"/>
    <w:rsid w:val="4BD46636"/>
    <w:rsid w:val="4BEE45CB"/>
    <w:rsid w:val="4C082496"/>
    <w:rsid w:val="4C08678F"/>
    <w:rsid w:val="4C1B5AC4"/>
    <w:rsid w:val="4C365277"/>
    <w:rsid w:val="4C396B73"/>
    <w:rsid w:val="4C426781"/>
    <w:rsid w:val="4C4C5496"/>
    <w:rsid w:val="4C6A1CEF"/>
    <w:rsid w:val="4C6C3432"/>
    <w:rsid w:val="4C854697"/>
    <w:rsid w:val="4C8C21FB"/>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BF6851"/>
    <w:rsid w:val="4DC90683"/>
    <w:rsid w:val="4DC94ACF"/>
    <w:rsid w:val="4DE047C5"/>
    <w:rsid w:val="4DE54991"/>
    <w:rsid w:val="4DF05258"/>
    <w:rsid w:val="4DF6097B"/>
    <w:rsid w:val="4E0E03D3"/>
    <w:rsid w:val="4E252D2A"/>
    <w:rsid w:val="4E3F795C"/>
    <w:rsid w:val="4E40707C"/>
    <w:rsid w:val="4E42373A"/>
    <w:rsid w:val="4E507D99"/>
    <w:rsid w:val="4E8D2056"/>
    <w:rsid w:val="4EAE2851"/>
    <w:rsid w:val="4EBB286E"/>
    <w:rsid w:val="4ED21F42"/>
    <w:rsid w:val="4EE07940"/>
    <w:rsid w:val="4EF647A8"/>
    <w:rsid w:val="4F093E78"/>
    <w:rsid w:val="4F1E444B"/>
    <w:rsid w:val="4F280A7B"/>
    <w:rsid w:val="4F2B223C"/>
    <w:rsid w:val="4F2C416E"/>
    <w:rsid w:val="4F3B0396"/>
    <w:rsid w:val="4F4D0E89"/>
    <w:rsid w:val="4F5464CE"/>
    <w:rsid w:val="4F55307E"/>
    <w:rsid w:val="4F6F5219"/>
    <w:rsid w:val="4F8E4B27"/>
    <w:rsid w:val="4F907AA4"/>
    <w:rsid w:val="4FA60918"/>
    <w:rsid w:val="4FB476B5"/>
    <w:rsid w:val="4FBC4BF4"/>
    <w:rsid w:val="4FD65B1E"/>
    <w:rsid w:val="50051405"/>
    <w:rsid w:val="500832F8"/>
    <w:rsid w:val="501136F0"/>
    <w:rsid w:val="502256AD"/>
    <w:rsid w:val="504215FA"/>
    <w:rsid w:val="50451DB7"/>
    <w:rsid w:val="504B791D"/>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01FD6"/>
    <w:rsid w:val="516E7D73"/>
    <w:rsid w:val="5180209A"/>
    <w:rsid w:val="51897721"/>
    <w:rsid w:val="519667AD"/>
    <w:rsid w:val="51973EE4"/>
    <w:rsid w:val="51A84D41"/>
    <w:rsid w:val="51AA2482"/>
    <w:rsid w:val="51B1317F"/>
    <w:rsid w:val="51C23429"/>
    <w:rsid w:val="51DB1E92"/>
    <w:rsid w:val="51E14E39"/>
    <w:rsid w:val="51ED757F"/>
    <w:rsid w:val="52150A7D"/>
    <w:rsid w:val="52414306"/>
    <w:rsid w:val="52457AEB"/>
    <w:rsid w:val="52564EE5"/>
    <w:rsid w:val="52666F95"/>
    <w:rsid w:val="526763FB"/>
    <w:rsid w:val="52741EC2"/>
    <w:rsid w:val="5298377F"/>
    <w:rsid w:val="53336AAE"/>
    <w:rsid w:val="533A136C"/>
    <w:rsid w:val="53480B19"/>
    <w:rsid w:val="5355264E"/>
    <w:rsid w:val="535F2BBA"/>
    <w:rsid w:val="537C67BA"/>
    <w:rsid w:val="53AF337A"/>
    <w:rsid w:val="53B26284"/>
    <w:rsid w:val="53B759F4"/>
    <w:rsid w:val="53D225A4"/>
    <w:rsid w:val="53DF4479"/>
    <w:rsid w:val="54157C9B"/>
    <w:rsid w:val="54186AD3"/>
    <w:rsid w:val="54341A80"/>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A261C"/>
    <w:rsid w:val="57A6426A"/>
    <w:rsid w:val="57D01AC7"/>
    <w:rsid w:val="57E01724"/>
    <w:rsid w:val="57F307C1"/>
    <w:rsid w:val="57FA2BAA"/>
    <w:rsid w:val="58011D2D"/>
    <w:rsid w:val="580162E5"/>
    <w:rsid w:val="58041F34"/>
    <w:rsid w:val="5815497A"/>
    <w:rsid w:val="581C6799"/>
    <w:rsid w:val="58327181"/>
    <w:rsid w:val="585D149C"/>
    <w:rsid w:val="586621B6"/>
    <w:rsid w:val="589C683B"/>
    <w:rsid w:val="58B9588A"/>
    <w:rsid w:val="58C14572"/>
    <w:rsid w:val="58C73AD7"/>
    <w:rsid w:val="58DA2920"/>
    <w:rsid w:val="58F020A3"/>
    <w:rsid w:val="58FB332B"/>
    <w:rsid w:val="590D05F5"/>
    <w:rsid w:val="59540A82"/>
    <w:rsid w:val="59594578"/>
    <w:rsid w:val="59631729"/>
    <w:rsid w:val="598A7A09"/>
    <w:rsid w:val="59B33075"/>
    <w:rsid w:val="59B63D96"/>
    <w:rsid w:val="59C13ED2"/>
    <w:rsid w:val="59E6253A"/>
    <w:rsid w:val="59E7033F"/>
    <w:rsid w:val="59ED1E3A"/>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01CC7"/>
    <w:rsid w:val="5AF8170C"/>
    <w:rsid w:val="5B05555C"/>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6001F2"/>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361AE"/>
    <w:rsid w:val="5D65410C"/>
    <w:rsid w:val="5D6C5E39"/>
    <w:rsid w:val="5D71281A"/>
    <w:rsid w:val="5D7D662C"/>
    <w:rsid w:val="5D954FBB"/>
    <w:rsid w:val="5DE847B7"/>
    <w:rsid w:val="5E0779FA"/>
    <w:rsid w:val="5E1D5BB1"/>
    <w:rsid w:val="5E1D5F77"/>
    <w:rsid w:val="5E234035"/>
    <w:rsid w:val="5E4F7B9F"/>
    <w:rsid w:val="5E751A3D"/>
    <w:rsid w:val="5E7762CF"/>
    <w:rsid w:val="5E8460C1"/>
    <w:rsid w:val="5EBF574D"/>
    <w:rsid w:val="5EC9135A"/>
    <w:rsid w:val="5ED14E5B"/>
    <w:rsid w:val="5EF04B7B"/>
    <w:rsid w:val="5EFF3DE0"/>
    <w:rsid w:val="5F007B24"/>
    <w:rsid w:val="5F106EAF"/>
    <w:rsid w:val="5F283CA5"/>
    <w:rsid w:val="5F305F32"/>
    <w:rsid w:val="5F400534"/>
    <w:rsid w:val="5F425A26"/>
    <w:rsid w:val="5F4E3CB5"/>
    <w:rsid w:val="5F7D1E64"/>
    <w:rsid w:val="5F7F3844"/>
    <w:rsid w:val="5F9374D0"/>
    <w:rsid w:val="5FAB1D27"/>
    <w:rsid w:val="5FDA48B5"/>
    <w:rsid w:val="5FE25384"/>
    <w:rsid w:val="5FE875BC"/>
    <w:rsid w:val="602509CC"/>
    <w:rsid w:val="60671E65"/>
    <w:rsid w:val="607562A7"/>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725619"/>
    <w:rsid w:val="617E294F"/>
    <w:rsid w:val="618649E8"/>
    <w:rsid w:val="619104F5"/>
    <w:rsid w:val="61AB7C65"/>
    <w:rsid w:val="61C3512C"/>
    <w:rsid w:val="61DB7979"/>
    <w:rsid w:val="61F840B8"/>
    <w:rsid w:val="62073433"/>
    <w:rsid w:val="620B3059"/>
    <w:rsid w:val="620D753C"/>
    <w:rsid w:val="62181D46"/>
    <w:rsid w:val="626B7791"/>
    <w:rsid w:val="62721747"/>
    <w:rsid w:val="628762A4"/>
    <w:rsid w:val="628C2933"/>
    <w:rsid w:val="628C4312"/>
    <w:rsid w:val="62AB1D8D"/>
    <w:rsid w:val="62C42917"/>
    <w:rsid w:val="62CB5F60"/>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5354D"/>
    <w:rsid w:val="64DA076B"/>
    <w:rsid w:val="64E36924"/>
    <w:rsid w:val="64E9112D"/>
    <w:rsid w:val="65014155"/>
    <w:rsid w:val="65142B38"/>
    <w:rsid w:val="6520621E"/>
    <w:rsid w:val="653D68E6"/>
    <w:rsid w:val="656A3683"/>
    <w:rsid w:val="656A7144"/>
    <w:rsid w:val="657B048C"/>
    <w:rsid w:val="657F70B1"/>
    <w:rsid w:val="65865107"/>
    <w:rsid w:val="659242EE"/>
    <w:rsid w:val="65961826"/>
    <w:rsid w:val="65B0069A"/>
    <w:rsid w:val="65B61ED7"/>
    <w:rsid w:val="65F93869"/>
    <w:rsid w:val="660B2971"/>
    <w:rsid w:val="660B5D8E"/>
    <w:rsid w:val="66224F9D"/>
    <w:rsid w:val="6632531C"/>
    <w:rsid w:val="667237CD"/>
    <w:rsid w:val="66953E2E"/>
    <w:rsid w:val="669F7CBA"/>
    <w:rsid w:val="66AE39AD"/>
    <w:rsid w:val="66B00768"/>
    <w:rsid w:val="66FB73E6"/>
    <w:rsid w:val="670A4B9E"/>
    <w:rsid w:val="67171C12"/>
    <w:rsid w:val="671905CC"/>
    <w:rsid w:val="671C012D"/>
    <w:rsid w:val="672E507D"/>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4B52ED"/>
    <w:rsid w:val="68535738"/>
    <w:rsid w:val="68721156"/>
    <w:rsid w:val="687C423F"/>
    <w:rsid w:val="68C25D28"/>
    <w:rsid w:val="68D033F3"/>
    <w:rsid w:val="68DC689F"/>
    <w:rsid w:val="68E0170A"/>
    <w:rsid w:val="68F302CC"/>
    <w:rsid w:val="69123CE1"/>
    <w:rsid w:val="69141C2E"/>
    <w:rsid w:val="69184264"/>
    <w:rsid w:val="693350FB"/>
    <w:rsid w:val="695479FA"/>
    <w:rsid w:val="696F1E02"/>
    <w:rsid w:val="69762AAC"/>
    <w:rsid w:val="697826BD"/>
    <w:rsid w:val="69874F79"/>
    <w:rsid w:val="69997553"/>
    <w:rsid w:val="69AA23F5"/>
    <w:rsid w:val="69B03F01"/>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A1F9C"/>
    <w:rsid w:val="6BFC4F57"/>
    <w:rsid w:val="6C1F76C2"/>
    <w:rsid w:val="6C4E1244"/>
    <w:rsid w:val="6C5B6EEC"/>
    <w:rsid w:val="6C5D2D2B"/>
    <w:rsid w:val="6C6E3EA2"/>
    <w:rsid w:val="6C7765FE"/>
    <w:rsid w:val="6C8008DC"/>
    <w:rsid w:val="6C836A41"/>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660D0"/>
    <w:rsid w:val="6E4A043D"/>
    <w:rsid w:val="6E6F129A"/>
    <w:rsid w:val="6E8C7E9A"/>
    <w:rsid w:val="6EA7226C"/>
    <w:rsid w:val="6EB13143"/>
    <w:rsid w:val="6EBF0F07"/>
    <w:rsid w:val="6EC3545C"/>
    <w:rsid w:val="6ECA78B1"/>
    <w:rsid w:val="6EE24E0E"/>
    <w:rsid w:val="6EFD5C0F"/>
    <w:rsid w:val="6F0211AE"/>
    <w:rsid w:val="6F081FAF"/>
    <w:rsid w:val="6F252E0D"/>
    <w:rsid w:val="6F257D94"/>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A0FAD"/>
    <w:rsid w:val="739B35DE"/>
    <w:rsid w:val="73DA0AAB"/>
    <w:rsid w:val="73F521F4"/>
    <w:rsid w:val="73FA2A89"/>
    <w:rsid w:val="73FF32CB"/>
    <w:rsid w:val="7405758D"/>
    <w:rsid w:val="74301EA6"/>
    <w:rsid w:val="74386E56"/>
    <w:rsid w:val="7439010A"/>
    <w:rsid w:val="74457CBE"/>
    <w:rsid w:val="74622F2F"/>
    <w:rsid w:val="7497088D"/>
    <w:rsid w:val="74A30572"/>
    <w:rsid w:val="74C73FE3"/>
    <w:rsid w:val="74DC5A55"/>
    <w:rsid w:val="74E71A82"/>
    <w:rsid w:val="74F64E3F"/>
    <w:rsid w:val="74FD1B30"/>
    <w:rsid w:val="751D0E17"/>
    <w:rsid w:val="754A05DC"/>
    <w:rsid w:val="75942A40"/>
    <w:rsid w:val="75A023F2"/>
    <w:rsid w:val="75BB0A7E"/>
    <w:rsid w:val="75C5780F"/>
    <w:rsid w:val="75FB2A56"/>
    <w:rsid w:val="75FF18EA"/>
    <w:rsid w:val="76023351"/>
    <w:rsid w:val="761730DD"/>
    <w:rsid w:val="762514F1"/>
    <w:rsid w:val="762C5C47"/>
    <w:rsid w:val="765512FB"/>
    <w:rsid w:val="766477E6"/>
    <w:rsid w:val="76687032"/>
    <w:rsid w:val="7672045B"/>
    <w:rsid w:val="76766B2A"/>
    <w:rsid w:val="767F2D37"/>
    <w:rsid w:val="76895AED"/>
    <w:rsid w:val="7698131F"/>
    <w:rsid w:val="76984EB1"/>
    <w:rsid w:val="76991A17"/>
    <w:rsid w:val="76BA50E5"/>
    <w:rsid w:val="76C42FE0"/>
    <w:rsid w:val="76D42781"/>
    <w:rsid w:val="76D81D5A"/>
    <w:rsid w:val="77067FBD"/>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57BD3"/>
    <w:rsid w:val="78C14DB7"/>
    <w:rsid w:val="78C243BF"/>
    <w:rsid w:val="78D81144"/>
    <w:rsid w:val="78F669DD"/>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E3C86"/>
    <w:rsid w:val="7A421F6B"/>
    <w:rsid w:val="7A805841"/>
    <w:rsid w:val="7A9C129D"/>
    <w:rsid w:val="7AAC617C"/>
    <w:rsid w:val="7ABB0835"/>
    <w:rsid w:val="7ABE7A74"/>
    <w:rsid w:val="7AC3193E"/>
    <w:rsid w:val="7AD63EE2"/>
    <w:rsid w:val="7AD825ED"/>
    <w:rsid w:val="7AE7522B"/>
    <w:rsid w:val="7AF11E4A"/>
    <w:rsid w:val="7AFC756B"/>
    <w:rsid w:val="7B0A616D"/>
    <w:rsid w:val="7B1530FA"/>
    <w:rsid w:val="7B6A65F9"/>
    <w:rsid w:val="7B73525D"/>
    <w:rsid w:val="7B841502"/>
    <w:rsid w:val="7B856B69"/>
    <w:rsid w:val="7BA51FAA"/>
    <w:rsid w:val="7BA71431"/>
    <w:rsid w:val="7BAB65F0"/>
    <w:rsid w:val="7BC5601A"/>
    <w:rsid w:val="7BE067C0"/>
    <w:rsid w:val="7BF7355E"/>
    <w:rsid w:val="7C041716"/>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C47ECE"/>
    <w:rsid w:val="7EE97E69"/>
    <w:rsid w:val="7EEF15E6"/>
    <w:rsid w:val="7F0F3C4C"/>
    <w:rsid w:val="7F102E25"/>
    <w:rsid w:val="7F2B3490"/>
    <w:rsid w:val="7F5B60CD"/>
    <w:rsid w:val="7F7B4F5F"/>
    <w:rsid w:val="7F81479C"/>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Balloon Text"/>
    <w:basedOn w:val="1"/>
    <w:link w:val="38"/>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unhideWhenUsed/>
    <w:qFormat/>
    <w:uiPriority w:val="0"/>
    <w:pPr>
      <w:snapToGrid w:val="0"/>
      <w:jc w:val="left"/>
    </w:pPr>
    <w:rPr>
      <w:sz w:val="18"/>
      <w:szCs w:val="18"/>
    </w:rPr>
  </w:style>
  <w:style w:type="paragraph" w:styleId="18">
    <w:name w:val="Normal (Web)"/>
    <w:basedOn w:val="1"/>
    <w:qFormat/>
    <w:uiPriority w:val="0"/>
    <w:pPr>
      <w:widowControl/>
      <w:spacing w:beforeAutospacing="1" w:afterAutospacing="1"/>
      <w:jc w:val="left"/>
    </w:pPr>
    <w:rPr>
      <w:rFonts w:ascii="宋体" w:hAnsi="宋体" w:eastAsia="宋体" w:cs="宋体"/>
      <w:kern w:val="0"/>
      <w:sz w:val="24"/>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paragraph" w:styleId="20">
    <w:name w:val="Body Text First Indent 2"/>
    <w:basedOn w:val="10"/>
    <w:unhideWhenUsed/>
    <w:qFormat/>
    <w:uiPriority w:val="99"/>
    <w:pPr>
      <w:ind w:firstLine="420" w:firstLineChars="200"/>
    </w:pPr>
    <w:rPr>
      <w:szCs w:val="22"/>
    </w:rPr>
  </w:style>
  <w:style w:type="character" w:styleId="23">
    <w:name w:val="page number"/>
    <w:basedOn w:val="22"/>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link w:val="4"/>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2"/>
    <w:qFormat/>
    <w:uiPriority w:val="0"/>
    <w:rPr>
      <w:rFonts w:hint="eastAsia" w:ascii="宋体" w:hAnsi="宋体" w:eastAsia="宋体" w:cs="宋体"/>
      <w:color w:val="000000"/>
      <w:sz w:val="24"/>
      <w:szCs w:val="24"/>
      <w:u w:val="none"/>
    </w:rPr>
  </w:style>
  <w:style w:type="character" w:customStyle="1" w:styleId="35">
    <w:name w:val="font01"/>
    <w:basedOn w:val="22"/>
    <w:qFormat/>
    <w:uiPriority w:val="0"/>
    <w:rPr>
      <w:rFonts w:hint="default" w:ascii="Times New Roman" w:hAnsi="Times New Roman" w:cs="Times New Roman"/>
      <w:color w:val="000000"/>
      <w:sz w:val="24"/>
      <w:szCs w:val="24"/>
      <w:u w:val="none"/>
    </w:rPr>
  </w:style>
  <w:style w:type="character" w:customStyle="1" w:styleId="36">
    <w:name w:val="font11"/>
    <w:basedOn w:val="22"/>
    <w:qFormat/>
    <w:uiPriority w:val="0"/>
    <w:rPr>
      <w:rFonts w:hint="default" w:ascii="Times New Roman" w:hAnsi="Times New Roman" w:cs="Times New Roman"/>
      <w:color w:val="000000"/>
      <w:sz w:val="20"/>
      <w:szCs w:val="20"/>
      <w:u w:val="none"/>
    </w:rPr>
  </w:style>
  <w:style w:type="character" w:customStyle="1" w:styleId="37">
    <w:name w:val="font31"/>
    <w:basedOn w:val="22"/>
    <w:qFormat/>
    <w:uiPriority w:val="0"/>
    <w:rPr>
      <w:rFonts w:hint="eastAsia" w:ascii="宋体" w:hAnsi="宋体" w:eastAsia="宋体" w:cs="宋体"/>
      <w:color w:val="000000"/>
      <w:sz w:val="20"/>
      <w:szCs w:val="20"/>
      <w:u w:val="none"/>
    </w:rPr>
  </w:style>
  <w:style w:type="character" w:customStyle="1" w:styleId="38">
    <w:name w:val="批注框文本 Char"/>
    <w:basedOn w:val="22"/>
    <w:link w:val="1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BADA5-E153-4308-9899-81A80880F22A}">
  <ds:schemaRefs/>
</ds:datastoreItem>
</file>

<file path=docProps/app.xml><?xml version="1.0" encoding="utf-8"?>
<Properties xmlns="http://schemas.openxmlformats.org/officeDocument/2006/extended-properties" xmlns:vt="http://schemas.openxmlformats.org/officeDocument/2006/docPropsVTypes">
  <Template>Normal</Template>
  <Pages>39</Pages>
  <Words>2967</Words>
  <Characters>16913</Characters>
  <Lines>140</Lines>
  <Paragraphs>39</Paragraphs>
  <TotalTime>28</TotalTime>
  <ScaleCrop>false</ScaleCrop>
  <LinksUpToDate>false</LinksUpToDate>
  <CharactersWithSpaces>19841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Administrator</cp:lastModifiedBy>
  <cp:lastPrinted>2021-01-16T02:09:00Z</cp:lastPrinted>
  <dcterms:modified xsi:type="dcterms:W3CDTF">2021-01-18T09:33:57Z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